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FF" w:rsidRDefault="00A759FF" w:rsidP="006E4A7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59FF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>
            <wp:extent cx="6152515" cy="4530725"/>
            <wp:effectExtent l="19050" t="0" r="635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36473" cy="6728632"/>
                      <a:chOff x="0" y="0"/>
                      <a:chExt cx="9136473" cy="6728632"/>
                    </a:xfrm>
                  </a:grpSpPr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0" y="0"/>
                        <a:ext cx="9136473" cy="6728632"/>
                        <a:chOff x="7527" y="-24"/>
                        <a:chExt cx="9136473" cy="6728632"/>
                      </a:xfrm>
                    </a:grpSpPr>
                    <a:pic>
                      <a:nvPicPr>
                        <a:cNvPr id="6" name="Picture 2" descr="\\10.10.57.24\общая для всех\КОМПЛЕКСНАЯ БЕЗОПАСНОСТЬ\МЕТОДИЧЕСКИЕ РЕКОМЕНДАЦИИ\15154145.jpg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tretch>
                          <a:fillRect/>
                        </a:stretch>
                      </a:blipFill>
                      <a:spPr bwMode="auto">
                        <a:xfrm>
                          <a:off x="7527" y="-24"/>
                          <a:ext cx="9136473" cy="6728632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7" name="Прямоугольник 6"/>
                        <a:cNvSpPr/>
                      </a:nvSpPr>
                      <a:spPr>
                        <a:xfrm>
                          <a:off x="5643570" y="5786454"/>
                          <a:ext cx="3357586" cy="83099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lIns="91440" tIns="45720" rIns="91440" bIns="45720">
                            <a:spAutoFit/>
                            <a:scene3d>
                              <a:camera prst="orthographicFront"/>
                              <a:lightRig rig="flat" dir="tl">
                                <a:rot lat="0" lon="0" rev="6600000"/>
                              </a:lightRig>
                            </a:scene3d>
                            <a:sp3d extrusionH="25400" contourW="8890">
                              <a:bevelT w="38100" h="31750"/>
                              <a:contourClr>
                                <a:schemeClr val="accent2">
                                  <a:shade val="75000"/>
                                </a:schemeClr>
                              </a:contourClr>
                            </a:sp3d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400" b="1" dirty="0" smtClean="0">
                                <a:ln w="11430"/>
                                <a:gradFill>
                                  <a:gsLst>
                                    <a:gs pos="0">
                                      <a:schemeClr val="accent2">
                                        <a:tint val="70000"/>
                                        <a:satMod val="245000"/>
                                      </a:schemeClr>
                                    </a:gs>
                                    <a:gs pos="75000">
                                      <a:schemeClr val="accent2">
                                        <a:tint val="90000"/>
                                        <a:shade val="60000"/>
                                        <a:satMod val="240000"/>
                                      </a:schemeClr>
                                    </a:gs>
                                    <a:gs pos="100000">
                                      <a:schemeClr val="accent2">
                                        <a:tint val="100000"/>
                                        <a:shade val="50000"/>
                                        <a:satMod val="240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50800" dist="39000" dir="5460000" algn="tl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a:rPr>
                              <a:t>с мобильного 040</a:t>
                            </a:r>
                          </a:p>
                          <a:p>
                            <a:pPr algn="ctr"/>
                            <a:r>
                              <a:rPr lang="ru-RU" sz="2400" b="1" cap="none" spc="0" dirty="0" smtClean="0">
                                <a:ln w="11430"/>
                                <a:gradFill>
                                  <a:gsLst>
                                    <a:gs pos="0">
                                      <a:schemeClr val="accent2">
                                        <a:tint val="70000"/>
                                        <a:satMod val="245000"/>
                                      </a:schemeClr>
                                    </a:gs>
                                    <a:gs pos="75000">
                                      <a:schemeClr val="accent2">
                                        <a:tint val="90000"/>
                                        <a:shade val="60000"/>
                                        <a:satMod val="240000"/>
                                      </a:schemeClr>
                                    </a:gs>
                                    <a:gs pos="100000">
                                      <a:schemeClr val="accent2">
                                        <a:tint val="100000"/>
                                        <a:shade val="50000"/>
                                        <a:satMod val="240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50800" dist="39000" dir="5460000" algn="tl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a:rPr>
                              <a:t>(звонок бесплатный)</a:t>
                            </a:r>
                            <a:endParaRPr lang="ru-RU" sz="2400" b="1" cap="none" spc="0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759FF" w:rsidRDefault="00A759FF" w:rsidP="006E4A7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59FF" w:rsidRDefault="00A759FF" w:rsidP="006E4A7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59FF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>
            <wp:extent cx="6152515" cy="4614545"/>
            <wp:effectExtent l="19050" t="0" r="635" b="0"/>
            <wp:docPr id="3" name="Рисунок 3" descr="\\10.10.57.24\общая для всех\КОМПЛЕКСНАЯ БЕЗОПАСНОСТЬ\МЕТОДИЧЕСКИЕ РЕКОМЕНДАЦИИ\gaz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\\10.10.57.24\общая для всех\КОМПЛЕКСНАЯ БЕЗОПАСНОСТЬ\МЕТОДИЧЕСКИЕ РЕКОМЕНДАЦИИ\gaz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9FF" w:rsidRDefault="00A759FF" w:rsidP="006E4A7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759F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drawing>
          <wp:inline distT="0" distB="0" distL="0" distR="0">
            <wp:extent cx="6152515" cy="4614545"/>
            <wp:effectExtent l="19050" t="0" r="635" b="0"/>
            <wp:docPr id="4" name="Рисунок 4" descr="\\10.10.57.24\общая для всех\КОМПЛЕКСНАЯ БЕЗОПАСНОСТЬ\МЕТОДИЧЕСКИЕ РЕКОМЕНДАЦИИ\-_3_га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\\10.10.57.24\общая для всех\КОМПЛЕКСНАЯ БЕЗОПАСНОСТЬ\МЕТОДИЧЕСКИЕ РЕКОМЕНДАЦИИ\-_3_га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9FF" w:rsidRDefault="00A759FF" w:rsidP="006E4A7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59FF" w:rsidRDefault="00A759FF" w:rsidP="006E4A7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4A7A" w:rsidRPr="00BB681E" w:rsidRDefault="006E4A7A" w:rsidP="006E4A7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b/>
          <w:bCs/>
          <w:sz w:val="26"/>
          <w:szCs w:val="26"/>
        </w:rPr>
        <w:t>ПАМЯТКА НАСЕЛЕНИЮ ПО БЕЗОПАСНОМУ ПОЛЬЗОВАНИЮ ГАЗОМ В БЫТУ</w:t>
      </w:r>
    </w:p>
    <w:p w:rsidR="00BB681E" w:rsidRPr="00BB681E" w:rsidRDefault="00BB681E" w:rsidP="006E4A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6E4A7A" w:rsidRPr="00BB681E" w:rsidRDefault="006E4A7A" w:rsidP="00BB6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Каждый пользователь внутриквартирного газового оборудования обязан: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Знать и выполнять правила безопасного пользования газом в быту.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Следить за исправностью газового оборудования и газовых счетчиков, обеспечивать их надлежащее техническое состояние путем заключения договоров со специализированной организацией, а также немедленно сообщать в специализированную организацию об авариях, о пожарах, неисправностях внутридомового газового оборудования и об иных нарушениях, возникающих при пользовании газом в быту.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В случае длительного отъезда подать заявление в газовую службу для отключения квартиры от газа.</w:t>
      </w:r>
    </w:p>
    <w:p w:rsidR="006E4A7A" w:rsidRPr="00BB681E" w:rsidRDefault="006E4A7A" w:rsidP="00BB6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b/>
          <w:sz w:val="26"/>
          <w:szCs w:val="26"/>
        </w:rPr>
        <w:t>ЗАПРЕЩАЕТСЯ: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Оставлять без присмотра работающие газовые приборы.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Использовать помещение, где установлены газовые приборы, для сна и отдыха.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Пользоваться газовыми приборами при отсутствии тяги или неисправной вентиляции.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Пользование неисправными или требующими ремонта газовыми приборами.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Допускать к пользованию газом детей.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Засорять и закрывать вентиляционные каналы.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lastRenderedPageBreak/>
        <w:t>Загромождать газовое оборудование посторонними предметами, привязывать к газопроводам веревки.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Самостоятельно заниматься ремонтом, заменой или перестановкой газового оборудования.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Монтаж и демонтаж газопроводов, установка газовых приборов, аппаратов и другого газоиспользующего оборудования, присоединение их к газопроводам, системам поквартирного водоснабжения и теплоснабжения должны производиться специализированными организациями.</w:t>
      </w:r>
    </w:p>
    <w:p w:rsidR="006E4A7A" w:rsidRPr="00BB681E" w:rsidRDefault="006E4A7A" w:rsidP="00BB681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Самовольная перекладка газопроводов, установка дополнительного и перестановка имеющегося газоиспользующего оборудования не допускается. Такие работы выполняет специализированная организация по согласованию с газоснабжающей организацией.</w:t>
      </w:r>
    </w:p>
    <w:p w:rsidR="006E4A7A" w:rsidRPr="00BB681E" w:rsidRDefault="006E4A7A" w:rsidP="00BB6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Если Вы почувствовали запах газа, перекройте кран перед газовым оборудованием и сообщите в аварийную службу. До приезда аварийной бригады проветрите помещение, не пользуйтесь открытым огнем, не включайте и не выключайте электроприборы.</w:t>
      </w:r>
    </w:p>
    <w:p w:rsidR="006E4A7A" w:rsidRPr="00BB681E" w:rsidRDefault="00BB681E" w:rsidP="00BB6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b/>
          <w:sz w:val="26"/>
          <w:szCs w:val="26"/>
        </w:rPr>
        <w:t>ПОЛЬЗОВАТЕЛЯМ ГАЗА НЕОБХОДИМО ПОМНИТЬ!</w:t>
      </w:r>
    </w:p>
    <w:p w:rsidR="006E4A7A" w:rsidRPr="00BB681E" w:rsidRDefault="006E4A7A" w:rsidP="00BB6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Согласно действующему законодательству предусмотрено, что отсутствие у абонента договора о техническом обслуживании внутридомового (внутриквартирного) газового оборудования является основанием для приостановления в одностороннем порядке поставщиком газа исполнения обязательств по поставке газа.</w:t>
      </w:r>
    </w:p>
    <w:p w:rsidR="002A1B8B" w:rsidRDefault="006E4A7A" w:rsidP="00BB6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81E">
        <w:rPr>
          <w:rFonts w:ascii="Times New Roman" w:eastAsia="Times New Roman" w:hAnsi="Times New Roman" w:cs="Times New Roman"/>
          <w:sz w:val="26"/>
          <w:szCs w:val="26"/>
        </w:rPr>
        <w:t>Своевременное обслуживание и ремонт внутридомового газового оборудования, вентиляционных и дымоходных каналов, соблюдение жителями правил пользования газом и газовым оборудованием в быту позволит избежать трагических последствий в дальнейшем.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Памятка по правилам пользования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b/>
          <w:bCs/>
          <w:sz w:val="28"/>
          <w:szCs w:val="28"/>
        </w:rPr>
        <w:t>газом в быту.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3E2">
        <w:rPr>
          <w:rFonts w:ascii="Times New Roman" w:hAnsi="Times New Roman" w:cs="Times New Roman"/>
          <w:bCs/>
          <w:sz w:val="28"/>
          <w:szCs w:val="28"/>
        </w:rPr>
        <w:t>Ответственность за безопасное пользование бытовыми газовыми приборами в квартирах, за их содержание в надлежащем состоянии возлагается на собственников и нанимателей жилых помещений (ст.210 Гражданского кодекса РФ, ст.30,67Жилищного кодекса РФ) ГРАЖДАНЕ, ПОМНИТЕ! ГАЗ В СМЕСИ С ВОЗДУХОМ ПРЕДСТАВЛЯЕТ ВЗРЫВООПАСНУЮ СМЕСЬ. НАРУШАЯ ПРАВИЛА ПОЛЬЗОВАНИЯ ГАЗОВОЙ ПЛИТОЙ, ВЫ ПОДВЕРГАЕТЕ ОПАСНОСТИ НЕ ТОЛЬКО СЕБЯ, НО И ДРУГИХ.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3E2">
        <w:rPr>
          <w:rFonts w:ascii="Times New Roman" w:hAnsi="Times New Roman" w:cs="Times New Roman"/>
          <w:bCs/>
          <w:sz w:val="28"/>
          <w:szCs w:val="28"/>
        </w:rPr>
        <w:t>В снежную погоду проверяйте дымоходы!</w:t>
      </w:r>
    </w:p>
    <w:p w:rsid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Нарушение требований безопасности пользования газом в быту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b/>
          <w:bCs/>
          <w:sz w:val="28"/>
          <w:szCs w:val="28"/>
        </w:rPr>
        <w:t>приводят к несчастным случаям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ОБ УТЕЧКЕ ГАЗА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Утечка газа обнаруживается в помещении по характерному запаху.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может возникнуть в соединениях газовой разводки на кранах перед приборами.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Кроме того, утечка газа может наблюдаться в горелках при открытых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плохо закрытых кранах.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Утечка газа может явиться причиной тяжелого удушья людей, вызвать пожар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или взрыв.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Отыскание утечки газа при помощи огня строго воспрещается.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В случае систематического нарушения абонентом правил пользования газом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и невыполнения указаний эксплуатационной газовой службы абонент снимается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со снабжения газом.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 xml:space="preserve">В случае неисправности газовой разводки и ненормальной работы </w:t>
      </w:r>
      <w:proofErr w:type="gramStart"/>
      <w:r w:rsidRPr="00BA23E2">
        <w:rPr>
          <w:rFonts w:ascii="Times New Roman" w:hAnsi="Times New Roman" w:cs="Times New Roman"/>
          <w:sz w:val="28"/>
          <w:szCs w:val="28"/>
        </w:rPr>
        <w:t>газовых</w:t>
      </w:r>
      <w:proofErr w:type="gramEnd"/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lastRenderedPageBreak/>
        <w:t>приборов, абонент должен вызвать газовую службу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необходимого ремонта или наладки газовых приборов.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При длительном перерыве пользования газом (отъезд, ремонт и пр.) абонент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A23E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A23E2">
        <w:rPr>
          <w:rFonts w:ascii="Times New Roman" w:hAnsi="Times New Roman" w:cs="Times New Roman"/>
          <w:sz w:val="28"/>
          <w:szCs w:val="28"/>
        </w:rPr>
        <w:t xml:space="preserve"> заявить об этом для отключения квартиры от газоснабжения.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Слесари газораспределительной компании, выезжающие по вызову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абонента для ликвидации аварии, имеют право явиться в любое время суток.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С заказом на доставку газа, а также по вопросу ремонта, регулировки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 xml:space="preserve">утечки газа, обращаться по телефону: </w:t>
      </w:r>
      <w:r w:rsidRPr="00BA23E2">
        <w:rPr>
          <w:rFonts w:ascii="Times New Roman" w:hAnsi="Times New Roman" w:cs="Times New Roman"/>
          <w:b/>
          <w:bCs/>
          <w:sz w:val="28"/>
          <w:szCs w:val="28"/>
        </w:rPr>
        <w:t>04.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ПОМНИТЕ: ГРАЖДАНАМ НЕ РАЗРЕШАЕТСЯ САМОВОЛЬНЫЙ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b/>
          <w:bCs/>
          <w:sz w:val="28"/>
          <w:szCs w:val="28"/>
        </w:rPr>
        <w:t>РЕМОНТ ГАЗОВОЙ АППАРАТУРЫ.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НАСЕЛЕНИЕ, ИСПОЛЬЗУЮЩЕЕ ГАЗ В БЫТУ, ОБЯЗАНО: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 xml:space="preserve">Пройти инструктаж по безопасному пользованию газом в </w:t>
      </w:r>
      <w:proofErr w:type="gramStart"/>
      <w:r w:rsidRPr="00BA23E2">
        <w:rPr>
          <w:rFonts w:ascii="Times New Roman" w:hAnsi="Times New Roman" w:cs="Times New Roman"/>
          <w:sz w:val="28"/>
          <w:szCs w:val="28"/>
        </w:rPr>
        <w:t>эксплуатационной</w:t>
      </w:r>
      <w:proofErr w:type="gramEnd"/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организации газового хозяйства, иметь инструкции по эксплуатации приборов и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соблюдать их.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Следить за нормальной работой газовых приборов, дымоходов и вентиляции,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проверять тягу до включения и во время работы газовых приборов с отводом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продуктов сгорания газа в дымоход. Перед пользованием газифицированной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печью проверять, открыт ли полностью шибер. Периодически очищать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 xml:space="preserve">«карман» дымохода. По окончании пользования газом закрыть краны </w:t>
      </w:r>
      <w:proofErr w:type="gramStart"/>
      <w:r w:rsidRPr="00BA23E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 xml:space="preserve">газовых </w:t>
      </w:r>
      <w:proofErr w:type="gramStart"/>
      <w:r w:rsidRPr="00BA23E2">
        <w:rPr>
          <w:rFonts w:ascii="Times New Roman" w:hAnsi="Times New Roman" w:cs="Times New Roman"/>
          <w:sz w:val="28"/>
          <w:szCs w:val="28"/>
        </w:rPr>
        <w:t>приборах</w:t>
      </w:r>
      <w:proofErr w:type="gramEnd"/>
      <w:r w:rsidRPr="00BA23E2">
        <w:rPr>
          <w:rFonts w:ascii="Times New Roman" w:hAnsi="Times New Roman" w:cs="Times New Roman"/>
          <w:sz w:val="28"/>
          <w:szCs w:val="28"/>
        </w:rPr>
        <w:t xml:space="preserve"> и перед ними, а при размещении баллонов внутри кухонь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дополнительно закрыть вентили у баллонов.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При неисправности газового оборудования вызвать работников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газового хозяйства. При внезапном прекращении подачи газа 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закрыть краны горелок газовых приборов и сообщить в аварийную газовую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службу по телефону 04!</w:t>
      </w:r>
    </w:p>
    <w:p w:rsid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При появлении в помещении квартиры запаха газа немедленно прекратить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пользование газовыми приборами, перекрыть краны к приборам и на приборах,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открыть окна или форточки для проветривания помещения, вызвать аварийную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службу газового хозяйства по телефону 04! (вне загазованного помещения).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зажигать огня, не курить, не включать и не выключать электроосвещение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 xml:space="preserve">электроприборы, не пользоваться </w:t>
      </w:r>
      <w:proofErr w:type="spellStart"/>
      <w:r w:rsidRPr="00BA23E2">
        <w:rPr>
          <w:rFonts w:ascii="Times New Roman" w:hAnsi="Times New Roman" w:cs="Times New Roman"/>
          <w:sz w:val="28"/>
          <w:szCs w:val="28"/>
        </w:rPr>
        <w:t>электрозвонком</w:t>
      </w:r>
      <w:proofErr w:type="spellEnd"/>
      <w:r w:rsidRPr="00BA2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Перед входом в подвалы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погреба, до включения света или зажигания огня, убедиться в отсутствии 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запаха газа.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 xml:space="preserve">ПРИ ОБНАРУЖЕНИИ ЗАПАХА ГАЗА В ПОДЪЕЗДЕ, ВО ДВОРЕ, </w:t>
      </w:r>
      <w:proofErr w:type="gramStart"/>
      <w:r w:rsidRPr="00BA23E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УЛИЦЕ - НЕОБХОДИМО: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- оповестить окружающих о мерах предосторожности;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 xml:space="preserve">- сообщить в газовую службу по телефону 04 из </w:t>
      </w:r>
      <w:proofErr w:type="spellStart"/>
      <w:r w:rsidRPr="00BA23E2">
        <w:rPr>
          <w:rFonts w:ascii="Times New Roman" w:hAnsi="Times New Roman" w:cs="Times New Roman"/>
          <w:sz w:val="28"/>
          <w:szCs w:val="28"/>
        </w:rPr>
        <w:t>незагазованного</w:t>
      </w:r>
      <w:proofErr w:type="spellEnd"/>
      <w:r w:rsidRPr="00BA23E2">
        <w:rPr>
          <w:rFonts w:ascii="Times New Roman" w:hAnsi="Times New Roman" w:cs="Times New Roman"/>
          <w:sz w:val="28"/>
          <w:szCs w:val="28"/>
        </w:rPr>
        <w:t xml:space="preserve"> места;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- принять меры по удалению людей из загазованной среды, предотвращению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включения и выключения электроосвещения, появлению открытого огня и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искры;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- до прибытия аварийной бригады организовать проветривание помещения.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НАСЕЛЕНИЮ ЗАПРЕЩАЕТСЯ!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Производить самовольную газификацию дома (квартиры, садового домика),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перестановку, замену и ремонт газовых приборов, баллонов и запорной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арматуры.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Осуществлять перепланировку помещения, где установлены газовые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приборы, изменять площадь отапливаемых помещений, без согласования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соответствующими организациями.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lastRenderedPageBreak/>
        <w:t>Вносить изменения в конструкцию газовых приборов. Изменять устройство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дымовых и вентиляционных систем; Заклеивать вентиляционные каналы,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замуровывать или заклеивать «карманы» и люки, предназначенные для чистки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дымоходов.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Отключать автоматику безопасности и регулирования. Пользоваться газом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при неисправных газовых приборах, автоматике, арматуре и газовых баллонах,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особенно при обнаружении утечки газа. Пользоваться Газом при 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плотности кладки, штукатурки (при появлении трещин) газифицированных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печей и дымоходов. Самовольно устанавливать дополнительные шиберы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 xml:space="preserve">дымоходах и на </w:t>
      </w:r>
      <w:proofErr w:type="spellStart"/>
      <w:r w:rsidRPr="00BA23E2">
        <w:rPr>
          <w:rFonts w:ascii="Times New Roman" w:hAnsi="Times New Roman" w:cs="Times New Roman"/>
          <w:sz w:val="28"/>
          <w:szCs w:val="28"/>
        </w:rPr>
        <w:t>дымоотводящих</w:t>
      </w:r>
      <w:proofErr w:type="spellEnd"/>
      <w:r w:rsidRPr="00BA23E2">
        <w:rPr>
          <w:rFonts w:ascii="Times New Roman" w:hAnsi="Times New Roman" w:cs="Times New Roman"/>
          <w:sz w:val="28"/>
          <w:szCs w:val="28"/>
        </w:rPr>
        <w:t xml:space="preserve"> трубах от водонагревателей.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Пользоваться газом без проведения очередных проверок и чисток дымовых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вентиляционных каналов в сроки, определенные Правилами безопасности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газовом хозяйстве.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Пользоваться газовыми приборами при закрытых форточках (фрамугах),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жалюзийных решетках, вентиляционных каналов, отсутствии тяги в дымоходах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и вентиляционных каналах, щелях под дверями ванных комнат.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Оставлять работающие газовые приборы без присмотра (кроме, приборов,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рассчитанных на непрерывную работу и имеющих для этого 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автоматику).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Допускать к пользованию газовыми приборами детей дошкольного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лиц, не контролирующих свои действия и не знающих правила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этими приборами.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Использовать газ и газовые приборы не по назначению.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газовыми плитами для отопления помещений.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Пользоваться помещениями, где установлены газовые приборы, для сна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отдыха.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Применять открытый огонь для обнаружения утечек газа (для этой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используются мыльная эмульсия или специальные приборы). Хранить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помещениях и подвалах порожние и заполненные сжиженными газами баллоны.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 xml:space="preserve">Самовольно, без специального инструктажа, производить замену </w:t>
      </w:r>
      <w:proofErr w:type="gramStart"/>
      <w:r w:rsidRPr="00BA23E2">
        <w:rPr>
          <w:rFonts w:ascii="Times New Roman" w:hAnsi="Times New Roman" w:cs="Times New Roman"/>
          <w:sz w:val="28"/>
          <w:szCs w:val="28"/>
        </w:rPr>
        <w:t>порожних</w:t>
      </w:r>
      <w:proofErr w:type="gramEnd"/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 xml:space="preserve">баллонов </w:t>
      </w:r>
      <w:proofErr w:type="gramStart"/>
      <w:r w:rsidRPr="00BA23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23E2">
        <w:rPr>
          <w:rFonts w:ascii="Times New Roman" w:hAnsi="Times New Roman" w:cs="Times New Roman"/>
          <w:sz w:val="28"/>
          <w:szCs w:val="28"/>
        </w:rPr>
        <w:t xml:space="preserve"> заполненные газом и подключать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Иметь в газифицированном помещении более одного баллона вместимостью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более 50 (55) л или двух баллонов вместимостью более 27 л каждый (один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них - запасной).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Располагать баллоны против топочных дверок печей на расстояние менее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Допускать порчу газового оборудования и хищение газа.</w:t>
      </w:r>
    </w:p>
    <w:p w:rsidR="00BA23E2" w:rsidRPr="00BA23E2" w:rsidRDefault="00BA23E2" w:rsidP="00A7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ПРАВИЛА ПОЛЬЗОВАНИЯ ГАЗОВЫМИ ПЛИТАМИ: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Эксплуатация газовой плиты разрешается после прохождения абонентом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инструктажа по безопасному использованию газа с оформлением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соответствующей документации.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Соблюдение правил пользования газовой плитой и выполнение их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эксплуатации исключает возможность возникновения аварийных и 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случаев.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Абонент должен изучить и строго соблюдать настоящие правила.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Абонент должен содержать газовую плиту в чистоте и исправном состоянии.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Самовольный ремонт газовой аппаратуры не разрешается.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неисправности газовой разводки, ненормальной работы газовых приборов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абонент должен вызвать слесаря службы газового хозяйства по телефону 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Запомните, что при соблюдении правил, газ безопасен. Однако при утечке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газа в помещении образуется взрывоопасная смесь, а при неполном сгорании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газа появляется угарный газ.</w:t>
      </w:r>
    </w:p>
    <w:p w:rsid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lastRenderedPageBreak/>
        <w:t>Знание и выполнение правил пользования газовыми приборами исключает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возможность несчастных случаев.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До зажигания газа на горелках газовой плиты необходимо проветрить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помещение, проверить, закрыты ли краны перед плитой, краны конфорочных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горелок плиты, кран духового шкафа и вентиль на баллоне при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газовых баллонов.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1. Открыть вентиль на баллоне (при использовании газовых баллонов).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2. Открыть кран перед плитой.</w:t>
      </w:r>
    </w:p>
    <w:p w:rsid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3. Зажечь спичку, поднести её к одной из горелок плиты. Слегка нажав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ручку крана горелки, открыть его. В аналогичной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зажигается газ на остальных горелках. Для розжига горелки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применять электрические или кремниевые зажигалки.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Если пламя проскакивает внутрь горелки, то необходимо закрыть кран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горелки, снова её зажечь через некоторое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При нормальном горении газа пламя у горелок отчетливое, спокойное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3E2">
        <w:rPr>
          <w:rFonts w:ascii="Times New Roman" w:hAnsi="Times New Roman" w:cs="Times New Roman"/>
          <w:sz w:val="28"/>
          <w:szCs w:val="28"/>
        </w:rPr>
        <w:t>голубоватозелёным</w:t>
      </w:r>
      <w:proofErr w:type="spellEnd"/>
      <w:r w:rsidRPr="00BA23E2">
        <w:rPr>
          <w:rFonts w:ascii="Times New Roman" w:hAnsi="Times New Roman" w:cs="Times New Roman"/>
          <w:sz w:val="28"/>
          <w:szCs w:val="28"/>
        </w:rPr>
        <w:t xml:space="preserve"> оттенком высотой 2-2,5 см. Высота пламени горелки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регулируется поворотом ручки крана горелки.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При ненормальном горении газа: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 xml:space="preserve">- из-за недостатка воздуха - </w:t>
      </w:r>
      <w:proofErr w:type="gramStart"/>
      <w:r w:rsidRPr="00BA23E2">
        <w:rPr>
          <w:rFonts w:ascii="Times New Roman" w:hAnsi="Times New Roman" w:cs="Times New Roman"/>
          <w:sz w:val="28"/>
          <w:szCs w:val="28"/>
        </w:rPr>
        <w:t>пламя</w:t>
      </w:r>
      <w:proofErr w:type="gramEnd"/>
      <w:r w:rsidRPr="00BA23E2">
        <w:rPr>
          <w:rFonts w:ascii="Times New Roman" w:hAnsi="Times New Roman" w:cs="Times New Roman"/>
          <w:sz w:val="28"/>
          <w:szCs w:val="28"/>
        </w:rPr>
        <w:t xml:space="preserve"> коптящее с желтым оттенком, горение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сопровождается выделением угарного газа, опасного для организма человека;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- из-за избытка воздуха пламя стремится оторваться от горелки.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Регулировку режима горения производит служба газового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Перед пользованием духовым шкафом его следует проветривать в течение 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5 минут неоднократным открыванием и закрыванием дверки шкафа. Зажигание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газа горелок духового шкафа производится через соответствующее окно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 xml:space="preserve">доступа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3E2">
        <w:rPr>
          <w:rFonts w:ascii="Times New Roman" w:hAnsi="Times New Roman" w:cs="Times New Roman"/>
          <w:sz w:val="28"/>
          <w:szCs w:val="28"/>
        </w:rPr>
        <w:t>орелкам</w:t>
      </w:r>
      <w:proofErr w:type="spellEnd"/>
      <w:r w:rsidRPr="00BA23E2">
        <w:rPr>
          <w:rFonts w:ascii="Times New Roman" w:hAnsi="Times New Roman" w:cs="Times New Roman"/>
          <w:sz w:val="28"/>
          <w:szCs w:val="28"/>
        </w:rPr>
        <w:t xml:space="preserve"> путём поднесения огня с одновременным открытием крана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духовки. Газ должен гореть во всех отверстиях горелок.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Для отключения газовой плиты необходимо закрыть краны конфорочных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горелок плиты, а также кран горелок духового шкафа.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Закрыть кран перед плитой на газопроводе.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23E2">
        <w:rPr>
          <w:rFonts w:ascii="Times New Roman" w:hAnsi="Times New Roman" w:cs="Times New Roman"/>
          <w:sz w:val="28"/>
          <w:szCs w:val="28"/>
        </w:rPr>
        <w:t>Закрыть вентиль у газового баллона при использовании газовых баллонов).</w:t>
      </w:r>
      <w:proofErr w:type="gramEnd"/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Не разрешается ставить посуду с широким дном на низкие конфорки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плиты, так как это может привести к отравлению продуктами неполного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b/>
          <w:bCs/>
          <w:sz w:val="28"/>
          <w:szCs w:val="28"/>
        </w:rPr>
        <w:t>сгорания газа (угарным газом).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Пламя не должно выбиваться из-под посуды, дно посуды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 xml:space="preserve">чистым, так как при наличии копоти увеличивается расход </w:t>
      </w:r>
      <w:proofErr w:type="gramStart"/>
      <w:r w:rsidRPr="00BA23E2">
        <w:rPr>
          <w:rFonts w:ascii="Times New Roman" w:hAnsi="Times New Roman" w:cs="Times New Roman"/>
          <w:sz w:val="28"/>
          <w:szCs w:val="28"/>
        </w:rPr>
        <w:t>газа</w:t>
      </w:r>
      <w:proofErr w:type="gramEnd"/>
      <w:r w:rsidRPr="00BA23E2">
        <w:rPr>
          <w:rFonts w:ascii="Times New Roman" w:hAnsi="Times New Roman" w:cs="Times New Roman"/>
          <w:sz w:val="28"/>
          <w:szCs w:val="28"/>
        </w:rPr>
        <w:t xml:space="preserve"> и время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приготовление пищи.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При использовании посуды с ребристым дном и дном, перекрывающим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настил газовой плиты, следует на горелку ставить запасную высокую конфорку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для нормальной подачи воздуха.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ЗАЖИГАНИЕ ГОРЕЛОК ДУХОВОГО ШКАФА:</w:t>
      </w:r>
    </w:p>
    <w:p w:rsid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Зажигание горелок духового шкафа производится в следующем порядке: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1. Открывайте общий кран на газопроводе перед плитой, если он не был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этого открыт (проветривайте духовой шкаф в течение 2-3 минут, открыв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дверку).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2. Поднесите горящую лучинку или спичку сначала к правой горелке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медленно открывая краник (крайний справа или средний), зажгите ее, а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быстро поднесите огонь к 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Обратите внимание на горение газа - газ должен загораться во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отверстиях горелок. Если одна из горелок погаснет, немедленно перекройте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кран и проветрите шкаф, а затем снова повторите процесс зажигания.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Убедившись, что газ горит в обеих горелках нормальным пламенем,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закрывают люк дна, дверцу духового шкафа.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УХОД ЗА ПЛИТОЙ И ДУХОВЫМ ШКАФОМ:</w:t>
      </w:r>
    </w:p>
    <w:p w:rsid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Для того чтобы плита безотказно работала, нужно содержать ее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исправности, чистоте. При этом необходимо соблюдать следующие правила: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1. Горелки и колпачки периодически промывать в содовом растворе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мыльной воде.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2. Поддон (грязевой лист), расположенный под конфорочными горелками,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промывать в мыльной теплой воде и насухо протирать.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3. Регулярно вымывать в теплой воде и протирать все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оборудования духового шкафа, а также его дно и стенки.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4. Наружную поверхность плиты обмыть теплой водой и протирать.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5. Перед первым пользованием духовым шкафом обязательно его промыть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горячей водой и прожечь. Включить горелки и не ставить в него никакой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посуды с целью приготовления пищи.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6. Газовый баллон должен находиться на расстоянии 0,5 м от газовой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плиты, 2 м - от плиты твердого топлива, 1 м - от электрических приборов, 0,5 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от раковины и умывальника.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3E2">
        <w:rPr>
          <w:rFonts w:ascii="Times New Roman" w:hAnsi="Times New Roman" w:cs="Times New Roman"/>
          <w:b/>
          <w:bCs/>
          <w:sz w:val="28"/>
          <w:szCs w:val="28"/>
        </w:rPr>
        <w:t>ВОСПРЕЩАЕТСЯ: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1. Оставлять зажженную газовую плиту без присмотра, а также допускать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пользованию и уходу за плитой малолетних детей и лиц, незнакомых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правилами пользования газовыми приборами.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2. Использовать газовые плиты для обогрева помещения.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3. Загромождать плиту посторонними предметами или класть возле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предметы легковоспламеняющиеся.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4. Привязывать к газовым трубам и вентилям веревки для развешивания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белья и других вещей.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5. Стучать по вентилям, горелкам, редуктору металлическими предметами,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также поворачивать ручку крана на плите с помощью ключей, щипцов, клещей,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рычагов и т. д.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6. Ставить тяжести на открытую дверцу духового шкафа.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7. Становиться на плиту, ставить полные тяжелые баки для кипячения белья,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устанавливать посуду с широким дном на конфорки с низкими ребрами и т. д.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8. Открывать краны, не имея в руках зажженной спички.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9. Заливать горящие горелки кипящими жидкостями.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10. Спать в помещении, где установлена газовая плита, или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горелки плиты включенными, горящими ночью, когда в квартире все спят.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11. Самовольно менять место установки газовой плиты или ремонтировать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газовые приборы и внутриквартирную газовую разводку.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12. Пользоваться плитой при закрытой или неисправной вентиляции.</w:t>
      </w:r>
    </w:p>
    <w:p w:rsidR="00BA23E2" w:rsidRPr="00BA23E2" w:rsidRDefault="00BA23E2" w:rsidP="00BA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3E2">
        <w:rPr>
          <w:rFonts w:ascii="Times New Roman" w:hAnsi="Times New Roman" w:cs="Times New Roman"/>
          <w:sz w:val="28"/>
          <w:szCs w:val="28"/>
        </w:rPr>
        <w:t>13. Разжигать плиту, а также курить, включать и выключать электрические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E2">
        <w:rPr>
          <w:rFonts w:ascii="Times New Roman" w:hAnsi="Times New Roman" w:cs="Times New Roman"/>
          <w:sz w:val="28"/>
          <w:szCs w:val="28"/>
        </w:rPr>
        <w:t>приборы при появлении запаха газа в помещении. В этом случае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A23E2">
        <w:rPr>
          <w:rFonts w:ascii="Times New Roman" w:hAnsi="Times New Roman" w:cs="Times New Roman"/>
          <w:sz w:val="28"/>
          <w:szCs w:val="28"/>
        </w:rPr>
        <w:t>рочно сообщить в аварийную службу по телефону 04.</w:t>
      </w:r>
    </w:p>
    <w:sectPr w:rsidR="00BA23E2" w:rsidRPr="00BA23E2" w:rsidSect="00BB68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24130"/>
    <w:multiLevelType w:val="hybridMultilevel"/>
    <w:tmpl w:val="3E022BBC"/>
    <w:lvl w:ilvl="0" w:tplc="3B2ED3DC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C5C24CD"/>
    <w:multiLevelType w:val="hybridMultilevel"/>
    <w:tmpl w:val="15802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A7A"/>
    <w:rsid w:val="002202D9"/>
    <w:rsid w:val="002A1B8B"/>
    <w:rsid w:val="006E4A7A"/>
    <w:rsid w:val="00A759FF"/>
    <w:rsid w:val="00BA23E2"/>
    <w:rsid w:val="00BB681E"/>
    <w:rsid w:val="00E5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8B"/>
  </w:style>
  <w:style w:type="paragraph" w:styleId="2">
    <w:name w:val="heading 2"/>
    <w:basedOn w:val="a"/>
    <w:link w:val="20"/>
    <w:uiPriority w:val="9"/>
    <w:qFormat/>
    <w:rsid w:val="006E4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A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date">
    <w:name w:val="postdate"/>
    <w:basedOn w:val="a0"/>
    <w:rsid w:val="006E4A7A"/>
  </w:style>
  <w:style w:type="paragraph" w:styleId="a3">
    <w:name w:val="Normal (Web)"/>
    <w:basedOn w:val="a"/>
    <w:uiPriority w:val="99"/>
    <w:semiHidden/>
    <w:unhideWhenUsed/>
    <w:rsid w:val="006E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cat">
    <w:name w:val="postcat"/>
    <w:basedOn w:val="a0"/>
    <w:rsid w:val="006E4A7A"/>
  </w:style>
  <w:style w:type="character" w:styleId="a4">
    <w:name w:val="Hyperlink"/>
    <w:basedOn w:val="a0"/>
    <w:uiPriority w:val="99"/>
    <w:semiHidden/>
    <w:unhideWhenUsed/>
    <w:rsid w:val="006E4A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6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57AF-B431-4542-8B6A-3B44353C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2217</Words>
  <Characters>12643</Characters>
  <Application>Microsoft Office Word</Application>
  <DocSecurity>0</DocSecurity>
  <Lines>105</Lines>
  <Paragraphs>29</Paragraphs>
  <ScaleCrop>false</ScaleCrop>
  <Company>ДТСЗН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IN_Nagovicin</dc:creator>
  <cp:keywords/>
  <dc:description/>
  <cp:lastModifiedBy>Shulgina_EV</cp:lastModifiedBy>
  <cp:revision>5</cp:revision>
  <dcterms:created xsi:type="dcterms:W3CDTF">2016-11-16T04:22:00Z</dcterms:created>
  <dcterms:modified xsi:type="dcterms:W3CDTF">2016-11-24T10:06:00Z</dcterms:modified>
</cp:coreProperties>
</file>