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8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1"/>
        <w:gridCol w:w="5450"/>
        <w:gridCol w:w="5083"/>
      </w:tblGrid>
      <w:tr>
        <w:trPr>
          <w:trHeight w:val="1077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41" w:type="dxa"/>
            <w:vAlign w:val="top"/>
            <w:textDirection w:val="lrTb"/>
            <w:noWrap w:val="false"/>
          </w:tcPr>
          <w:p>
            <w:pPr>
              <w:pStyle w:val="862"/>
              <w:ind w:firstLine="539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/>
          </w:p>
          <w:p>
            <w:pPr>
              <w:pStyle w:val="862"/>
              <w:ind w:firstLine="539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3. Оплата услуг психолога, предоставленных лицу, освободившемуся из мест лишения свободы.</w:t>
            </w:r>
            <w:r/>
          </w:p>
          <w:p>
            <w:pPr>
              <w:pStyle w:val="862"/>
              <w:ind w:firstLine="539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психолога производится на основании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\l "P405"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договора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заключенного с организацией, предоставляющей психологические услуги.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/>
            <w:bookmarkStart w:id="0" w:name="P115"/>
            <w:r/>
            <w:bookmarkEnd w:id="0"/>
            <w:r>
              <w:rPr>
                <w:sz w:val="20"/>
                <w:szCs w:val="20"/>
              </w:rPr>
              <w:t xml:space="preserve">Лица, освободившиеся из мест лишения свободы, вправе обратиться</w:t>
            </w:r>
            <w:r>
              <w:rPr>
                <w:sz w:val="20"/>
                <w:szCs w:val="20"/>
              </w:rPr>
              <w:t xml:space="preserve"> в уполномоченный орган за </w:t>
            </w:r>
            <w:r>
              <w:rPr>
                <w:sz w:val="20"/>
                <w:szCs w:val="20"/>
              </w:rPr>
              <w:t xml:space="preserve">направлением на предоставление услуг психолога, представив следующие документы: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заявление;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документ, удостоверяющий личность</w:t>
            </w:r>
            <w:r>
              <w:rPr>
                <w:sz w:val="20"/>
                <w:szCs w:val="20"/>
              </w:rPr>
              <w:t xml:space="preserve"> гражданина Российской Федерации;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документы, подтверждающие срок освобождения из учреждения, исполняющего наказание в виде лишения свободы (не более одного года со дня освобождения);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согласие на обработку персональных данных уполномоченным органом, в соответствии со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"consultantplus://offline/ref=F251685C24F30BD02A54B4C06AA6A675BF1E731FD943386B7F2EB5A09D7ECDA00958701B4418E0DE49P5J"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статьей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Федерального за</w:t>
            </w:r>
            <w:r>
              <w:rPr>
                <w:sz w:val="20"/>
                <w:szCs w:val="20"/>
              </w:rPr>
              <w:t xml:space="preserve">кона</w:t>
            </w:r>
            <w:r>
              <w:rPr>
                <w:sz w:val="20"/>
                <w:szCs w:val="20"/>
              </w:rPr>
              <w:t xml:space="preserve"> от 27.07.2006 № 152-ФЗ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 персональных данных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Лицо, освободившееся из мест лишения свободы, вправе представить справку (сведения) о регистрации по месту жительства на территории муниципального образования город Салехард самостоятельно по собственной инициативе.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на предоставление услуг психолога выдается на руки лицу, освободившемуся из мест лишения свободы.</w:t>
            </w:r>
            <w:r/>
          </w:p>
          <w:p>
            <w:pPr>
              <w:pStyle w:val="862"/>
              <w:ind w:firstLine="54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Порядок реализации мероприятий по ресоциализации и социальной адаптации лиц, освободившихся из мест лишения свободы, разработан в целях расширения возможности трудоустройства лиц, освобожденных из учреждений, </w:t>
            </w:r>
            <w:r>
              <w:rPr>
                <w:sz w:val="20"/>
                <w:szCs w:val="20"/>
              </w:rPr>
              <w:t xml:space="preserve">исполняющих уголовные наказания в виде лишения свободы, имеющих регистрацию по месту жительства на территории муниципального образования город Салехард, а также стимулирования работодателей к их трудоустройству (далее - Порядок, муниципальное образование).</w:t>
            </w:r>
            <w:r/>
          </w:p>
          <w:p>
            <w:pPr>
              <w:pStyle w:val="862"/>
              <w:ind w:firstLine="5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определяет механизм компенсации расходов по следующим направлениям:</w:t>
            </w:r>
            <w:r/>
          </w:p>
          <w:p>
            <w:pPr>
              <w:pStyle w:val="862"/>
              <w:ind w:firstLine="5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частичное возмещение работодателю затрат на оплату труда трудоустроенных им лиц, освободившихся из мест лишения свободы;</w:t>
            </w:r>
            <w:r/>
          </w:p>
          <w:p>
            <w:pPr>
              <w:pStyle w:val="862"/>
              <w:ind w:firstLine="5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возмещение работодателю затрат на проведение обязательного предварительного медицинского осмотра лиц, освободившихся из мест лишения свободы;</w:t>
            </w:r>
            <w:r/>
          </w:p>
          <w:p>
            <w:pPr>
              <w:pStyle w:val="862"/>
              <w:ind w:firstLine="5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оплата услуг психолога, предоставленных лицу, освободившемуся из мест лишения свободы.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Органом, уполномоченным на предоставление компенсации расходов, является </w:t>
            </w:r>
            <w:r>
              <w:rPr>
                <w:sz w:val="20"/>
                <w:szCs w:val="20"/>
              </w:rPr>
              <w:t xml:space="preserve">департамент по труду и социальной защите населения Администрации муниципального образования город Салехард</w:t>
            </w:r>
            <w:r>
              <w:rPr>
                <w:sz w:val="20"/>
                <w:szCs w:val="20"/>
              </w:rPr>
              <w:t xml:space="preserve"> (далее - Департамент) на основании заключенного договора между работодателем и Департаментом.</w:t>
            </w:r>
            <w:r>
              <w:rPr>
                <w:sz w:val="20"/>
                <w:szCs w:val="20"/>
              </w:rPr>
              <w:t xml:space="preserve"> 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Работодатель вправе обратиться в письменной форме в Департамент для заключения договор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.</w:t>
            </w:r>
            <w:r/>
          </w:p>
          <w:p>
            <w:pPr>
              <w:pStyle w:val="841"/>
              <w:ind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50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 xml:space="preserve">Важно!</w:t>
            </w:r>
            <w:r/>
          </w:p>
          <w:p>
            <w:pPr>
              <w:pStyle w:val="84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  <w:highlight w:val="white"/>
              </w:rPr>
              <w:t xml:space="preserve">омпенсация работодателю, заключившему с Департаментом </w:t>
            </w:r>
            <w:r>
              <w:rPr>
                <w:sz w:val="20"/>
                <w:szCs w:val="20"/>
                <w:highlight w:val="white"/>
              </w:rPr>
              <w:fldChar w:fldCharType="begin"/>
            </w:r>
            <w:r>
              <w:rPr>
                <w:sz w:val="20"/>
                <w:szCs w:val="20"/>
                <w:highlight w:val="white"/>
              </w:rPr>
              <w:instrText xml:space="preserve">HYPERLINK \l "P153"</w:instrText>
            </w:r>
            <w:r>
              <w:rPr>
                <w:sz w:val="20"/>
                <w:szCs w:val="20"/>
                <w:highlight w:val="white"/>
              </w:rPr>
              <w:fldChar w:fldCharType="separate"/>
            </w:r>
            <w:r>
              <w:rPr>
                <w:sz w:val="20"/>
                <w:szCs w:val="20"/>
                <w:highlight w:val="white"/>
              </w:rPr>
              <w:t xml:space="preserve">договор</w:t>
            </w:r>
            <w:r>
              <w:rPr>
                <w:sz w:val="20"/>
                <w:szCs w:val="20"/>
                <w:highlight w:val="white"/>
              </w:rPr>
              <w:fldChar w:fldCharType="end"/>
            </w:r>
            <w:r>
              <w:rPr>
                <w:sz w:val="20"/>
                <w:szCs w:val="20"/>
                <w:highlight w:val="white"/>
              </w:rPr>
              <w:t xml:space="preserve"> в части </w:t>
            </w:r>
            <w:r>
              <w:rPr>
                <w:sz w:val="20"/>
                <w:szCs w:val="20"/>
                <w:highlight w:val="white"/>
              </w:rPr>
              <w:t xml:space="preserve">затрат на оплату труда трудоустроенного им лица, освободившегося из мест лишения свободы</w:t>
            </w:r>
            <w:r>
              <w:rPr>
                <w:sz w:val="20"/>
                <w:szCs w:val="20"/>
                <w:highlight w:val="white"/>
              </w:rPr>
              <w:t xml:space="preserve">, производится путем перечисления на указанный работодателем счет, при условии представления им </w:t>
            </w:r>
            <w:r>
              <w:rPr>
                <w:sz w:val="20"/>
                <w:szCs w:val="20"/>
                <w:highlight w:val="white"/>
              </w:rPr>
              <w:t xml:space="preserve">заверенных копий следующих документов:</w:t>
            </w:r>
            <w:r>
              <w:rPr>
                <w:highlight w:val="whit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табеля учета рабочего времени;</w:t>
            </w:r>
            <w:r>
              <w:rPr>
                <w:highlight w:val="whit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 платежного поручения о перечислении страховых взносов на обязательное пенсионное, социальное и медицинское страхование;</w:t>
            </w:r>
            <w:r>
              <w:rPr>
                <w:highlight w:val="whit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 платежного поручения о перечислении суммы заработной платы на лицевые счета граждан в кредитных организациях.</w:t>
            </w:r>
            <w:r>
              <w:rPr>
                <w:highlight w:val="whit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Работодатель обязан информировать Департамент об обстоятельствах, влекущих прекращение предоставления компенсации ему части затрат на оплату труда трудоустроенных им лиц в течение трех рабочих дней со дня их наступления:</w:t>
            </w:r>
            <w:r>
              <w:rPr>
                <w:highlight w:val="whit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а) увольнение лица, освободившегося из мест лишения свободы;</w:t>
            </w:r>
            <w:r>
              <w:rPr>
                <w:highlight w:val="white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б) отзыв согласия на обработку персональных данных лицом, освободившимся из мест лишения свободы.</w:t>
            </w:r>
            <w:r>
              <w:rPr>
                <w:highlight w:val="white"/>
              </w:rPr>
            </w:r>
            <w:r/>
          </w:p>
          <w:p>
            <w:pPr>
              <w:pStyle w:val="841"/>
              <w:jc w:val="center"/>
              <w:rPr>
                <w:i/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41"/>
              <w:ind w:firstLine="475"/>
              <w:jc w:val="both"/>
              <w:rPr>
                <w:sz w:val="20"/>
                <w:szCs w:val="20"/>
              </w:rPr>
            </w:pPr>
            <w:r>
              <w:rPr>
                <w:rStyle w:val="861"/>
                <w:sz w:val="20"/>
                <w:szCs w:val="20"/>
              </w:rPr>
              <w:t xml:space="preserve">Подробную консультацию о порядке </w:t>
            </w:r>
            <w:r>
              <w:rPr>
                <w:color w:val="000000"/>
                <w:sz w:val="20"/>
                <w:szCs w:val="20"/>
              </w:rPr>
              <w:t xml:space="preserve">реализации мероприятий по ресоциализации и социальной адаптации лиц, освободившихся из мест лишения свободы</w:t>
            </w:r>
            <w:r>
              <w:rPr>
                <w:rStyle w:val="861"/>
                <w:sz w:val="20"/>
                <w:szCs w:val="20"/>
              </w:rPr>
              <w:t xml:space="preserve"> можно получить </w:t>
            </w:r>
            <w:r>
              <w:rPr>
                <w:b/>
                <w:sz w:val="20"/>
                <w:szCs w:val="20"/>
              </w:rPr>
              <w:t xml:space="preserve">по телефон</w:t>
            </w:r>
            <w:r>
              <w:rPr>
                <w:b/>
                <w:sz w:val="20"/>
                <w:szCs w:val="20"/>
              </w:rPr>
              <w:t xml:space="preserve">у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5-21-41 вн. 232, 233</w:t>
            </w:r>
            <w:r>
              <w:rPr>
                <w:sz w:val="20"/>
                <w:szCs w:val="20"/>
              </w:rPr>
              <w:t xml:space="preserve"> либо</w:t>
            </w:r>
            <w:r>
              <w:rPr>
                <w:sz w:val="20"/>
                <w:szCs w:val="20"/>
              </w:rPr>
              <w:t xml:space="preserve"> обратившись к специалист</w:t>
            </w:r>
            <w:r>
              <w:rPr>
                <w:sz w:val="20"/>
                <w:szCs w:val="20"/>
              </w:rPr>
              <w:t xml:space="preserve">ам д</w:t>
            </w:r>
            <w:r>
              <w:rPr>
                <w:sz w:val="20"/>
                <w:szCs w:val="20"/>
              </w:rPr>
              <w:t xml:space="preserve">епартамента по труду и социальной защите населения Администрации муниципального образования город Салехард по адресу: </w:t>
            </w:r>
            <w:r>
              <w:rPr>
                <w:sz w:val="20"/>
                <w:szCs w:val="20"/>
                <w:u w:val="single"/>
              </w:rPr>
              <w:t xml:space="preserve">ул. Матросова, дом № 36</w:t>
            </w:r>
            <w:r>
              <w:rPr>
                <w:sz w:val="20"/>
                <w:szCs w:val="20"/>
                <w:u w:val="single"/>
              </w:rPr>
              <w:t xml:space="preserve">, каб. № 4.</w:t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ind w:left="-62" w:right="-9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highlight w:val="none"/>
                <w:u w:val="single"/>
              </w:rPr>
            </w:r>
            <w:r>
              <w:rPr>
                <w:b/>
                <w:sz w:val="20"/>
                <w:szCs w:val="20"/>
                <w:highlight w:val="none"/>
                <w:u w:val="single"/>
              </w:rPr>
            </w:r>
            <w:r/>
          </w:p>
          <w:p>
            <w:pPr>
              <w:ind w:left="-62" w:right="-90"/>
              <w:jc w:val="center"/>
              <w:rPr>
                <w:b/>
                <w:bCs/>
                <w:sz w:val="20"/>
                <w:szCs w:val="20"/>
                <w:highlight w:val="none"/>
                <w:u w:val="single"/>
              </w:rPr>
            </w:pPr>
            <w:r>
              <w:rPr>
                <w:b/>
                <w:sz w:val="20"/>
                <w:szCs w:val="20"/>
                <w:highlight w:val="none"/>
                <w:u w:val="single"/>
              </w:rPr>
            </w:r>
            <w:r>
              <w:rPr>
                <w:b/>
                <w:sz w:val="20"/>
                <w:szCs w:val="20"/>
                <w:highlight w:val="none"/>
                <w:u w:val="single"/>
              </w:rPr>
            </w:r>
            <w:r/>
          </w:p>
          <w:p>
            <w:pPr>
              <w:ind w:left="-62" w:right="-90"/>
              <w:jc w:val="center"/>
              <w:rPr>
                <w:b/>
                <w:bCs/>
                <w:sz w:val="20"/>
                <w:szCs w:val="20"/>
                <w:highlight w:val="none"/>
                <w:u w:val="single"/>
              </w:rPr>
            </w:pPr>
            <w:r>
              <w:rPr>
                <w:b/>
                <w:sz w:val="20"/>
                <w:szCs w:val="20"/>
                <w:highlight w:val="none"/>
                <w:u w:val="single"/>
              </w:rPr>
            </w:r>
            <w:r>
              <w:rPr>
                <w:b/>
                <w:sz w:val="20"/>
                <w:szCs w:val="20"/>
                <w:highlight w:val="none"/>
                <w:u w:val="single"/>
              </w:rPr>
            </w:r>
            <w:r/>
          </w:p>
          <w:p>
            <w:pPr>
              <w:ind w:left="-62" w:right="-90"/>
              <w:jc w:val="center"/>
              <w:rPr>
                <w:b/>
                <w:bCs/>
                <w:sz w:val="20"/>
                <w:szCs w:val="20"/>
                <w:highlight w:val="none"/>
                <w:u w:val="single"/>
              </w:rPr>
            </w:pPr>
            <w:r>
              <w:rPr>
                <w:b/>
                <w:sz w:val="20"/>
                <w:szCs w:val="20"/>
                <w:highlight w:val="none"/>
                <w:u w:val="single"/>
              </w:rPr>
            </w:r>
            <w:r>
              <w:rPr>
                <w:b/>
                <w:sz w:val="20"/>
                <w:szCs w:val="20"/>
                <w:highlight w:val="none"/>
                <w:u w:val="single"/>
              </w:rPr>
            </w:r>
            <w:r/>
          </w:p>
          <w:p>
            <w:pPr>
              <w:pStyle w:val="841"/>
              <w:ind w:left="-62" w:right="-90"/>
              <w:jc w:val="center"/>
              <w:rPr>
                <w:b/>
                <w:bCs/>
                <w:sz w:val="20"/>
                <w:szCs w:val="20"/>
                <w:highlight w:val="none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1. Частичное возмещение работодателю затрат на оплат</w:t>
            </w:r>
            <w:r>
              <w:rPr>
                <w:b/>
                <w:sz w:val="20"/>
                <w:szCs w:val="20"/>
                <w:u w:val="single"/>
              </w:rPr>
              <w:t xml:space="preserve">у труда трудоустроенных им лиц, о</w:t>
            </w:r>
            <w:r>
              <w:rPr>
                <w:b/>
                <w:sz w:val="20"/>
                <w:szCs w:val="20"/>
                <w:u w:val="single"/>
              </w:rPr>
              <w:t xml:space="preserve">свободившихся</w:t>
            </w:r>
            <w:r>
              <w:rPr>
                <w:b/>
                <w:sz w:val="20"/>
                <w:szCs w:val="20"/>
                <w:u w:val="single"/>
              </w:rPr>
            </w:r>
            <w:r/>
          </w:p>
          <w:p>
            <w:pPr>
              <w:pStyle w:val="841"/>
              <w:ind w:left="-62" w:right="-9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из мест лишения свободы</w:t>
            </w:r>
            <w:r/>
          </w:p>
          <w:p>
            <w:pPr>
              <w:pStyle w:val="8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в течение 6 месяцев со дня трудоустройства лица в сумме 50% от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 "consultantplus://offline/ref=E88300948E15F342C506F9B50363FE2947E7F4E68AAEA118327CE9C2BAAF6C74BAF84010F62B9D7204865123SAq9G"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t xml:space="preserve">минимальной заработной платы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уста</w:t>
            </w:r>
            <w:r>
              <w:rPr>
                <w:sz w:val="20"/>
                <w:szCs w:val="20"/>
              </w:rPr>
              <w:t xml:space="preserve">новленной федеральным законом, с применением к ней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Федерации, но не ниже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 "consultantplus://offline/ref=E88300948E15F342C506E7B8150FA92440E9ABE38AA1F5466D27B495B3A53B21F5F91C56A1389F790484583FABE13FSAqB"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color w:val="0000ff"/>
                <w:sz w:val="20"/>
                <w:szCs w:val="20"/>
              </w:rPr>
              <w:t xml:space="preserve">величины прожиточного минимума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трудоспособного населения в Ямало-Ненецком автономном округе за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II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 xml:space="preserve">квартал предыдущего года, в пределах периода предоставления указанной компенсации, ежемесячно на каждое трудоустроенное лицо, </w:t>
            </w:r>
            <w:r>
              <w:rPr>
                <w:sz w:val="20"/>
                <w:szCs w:val="20"/>
              </w:rPr>
              <w:t xml:space="preserve">при условии о</w:t>
            </w:r>
            <w:r>
              <w:rPr>
                <w:sz w:val="20"/>
                <w:szCs w:val="20"/>
              </w:rPr>
              <w:t xml:space="preserve">тработки за этот период нормы рабочего времени и выполнении нормы труда (трудовых обязанностей), за исключением случаев временной нетрудоспособности, предоставления отпусков с сохранением заработной платы и без сохранения заработной платы в соответствии с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"consultantplus://offline/ref=F251685C24F30BD02A54B4C06AA6A675BF1F711ED74A386B7F2EB5A09D7ECDA00958701B4418EADF49PAJ"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частью 2 статьи 128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"consultantplus://offline/ref=F251685C24F30BD02A54B4C06AA6A675BF1F711ED74A386B7F2EB5A09D7ECDA00958701B4D194EP3J"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статьями 173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"consultantplus://offline/ref=F251685C24F30BD02A54B4C06AA6A675BF1F711ED74A386B7F2EB5A09D7ECDA00958701845184EP5J"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173.1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"consultantplus://offline/ref=F251685C24F30BD02A54B4C06AA6A675BF1F711ED74A386B7F2EB5A09D7ECDA00958701B4D1A4EP5J"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174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Трудового кодекса Российской Федерации, привлечения к исполнению государственных или общественных обязанностей в соответствии со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"consultantplus://offline/ref=F251685C24F30BD02A54B4C06AA6A675BF1F711ED74A386B7F2EB5A09D7ECDA00958701B4419E2D149PDJ"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статьей 170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Трудового кодекса Российской Федерации.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Компенсация работодателю производится Департаментом после выплаты заработной платы трудоустроенному лицу и перечисления страховых взносов на обязательное пенсионное, социальное и медицинское страхование.</w:t>
            </w:r>
            <w:r/>
          </w:p>
          <w:p>
            <w:pPr>
              <w:pStyle w:val="862"/>
              <w:ind w:firstLine="5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заключения договора на предоставление компенсации необходимо предоставить в адрес Департамента следующие з</w:t>
            </w:r>
            <w:r>
              <w:rPr>
                <w:b/>
                <w:sz w:val="20"/>
                <w:szCs w:val="20"/>
              </w:rPr>
              <w:t xml:space="preserve">аверенные копии документов</w:t>
            </w:r>
            <w:r>
              <w:rPr>
                <w:b/>
                <w:sz w:val="20"/>
                <w:szCs w:val="20"/>
              </w:rPr>
              <w:t xml:space="preserve">: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выписки из Единого государственного реестра юридических лиц/Единого государственного реестра индивидуальных предпринимателей;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трудового договора; 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приказа о приеме на работу;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документов, подтверждающих срок освобождения из учреждения, исполняющего наказание в виде лишения свободы (не более одного года со дня освобождения);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документов, подтверждающих наличие регистрации по месту жительства на территории муниципального образования город Салехард.</w:t>
            </w:r>
            <w:r/>
          </w:p>
          <w:p>
            <w:pPr>
              <w:pStyle w:val="862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 согласия лица на обработку персональных данных Департаментом, в соответствии со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HYPERLINK "consultantplus://offline/ref=F251685C24F30BD02A54B4C06AA6A675BF1E731FD943386B7F2EB5A09D7ECDA00958701B4418E0DE49P5J"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статьей 9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Федерального закона от 27.07.2006 № 152-ФЗ «О персональных данных».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3" w:type="dxa"/>
            <w:vAlign w:val="top"/>
            <w:textDirection w:val="lrTb"/>
            <w:noWrap w:val="false"/>
          </w:tcPr>
          <w:p>
            <w:pPr>
              <w:pStyle w:val="841"/>
              <w:jc w:val="center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jc w:val="center"/>
              <w:tabs>
                <w:tab w:val="left" w:pos="2592" w:leader="none"/>
              </w:tabs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Муниципальное образование город Салехард</w:t>
            </w:r>
            <w:r/>
          </w:p>
          <w:p>
            <w:pPr>
              <w:pStyle w:val="841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firstLine="252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firstLine="252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firstLine="252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  <w:r/>
          </w:p>
          <w:p>
            <w:pPr>
              <w:pStyle w:val="84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b/>
                <w:color w:val="000000"/>
                <w:sz w:val="21"/>
                <w:szCs w:val="21"/>
                <w:u w:val="single"/>
              </w:rPr>
              <w:t xml:space="preserve">Ресоциализация и социальная адаптация лиц, освободившихся из мест лишения свободы</w:t>
            </w:r>
            <w:r/>
          </w:p>
          <w:p>
            <w:pPr>
              <w:pStyle w:val="841"/>
              <w:ind w:left="360"/>
              <w:jc w:val="both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68955" cy="1573911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68955" cy="1573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41.6pt;height:123.9pt;mso-wrap-distance-left:0.0pt;mso-wrap-distance-top:0.0pt;mso-wrap-distance-right:0.0pt;mso-wrap-distance-bottom:0.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iCs/>
                <w:sz w:val="21"/>
                <w:szCs w:val="21"/>
              </w:rPr>
            </w:r>
            <w:r/>
          </w:p>
          <w:p>
            <w:pPr>
              <w:pStyle w:val="841"/>
              <w:jc w:val="both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Основание: </w:t>
            </w:r>
            <w:r>
              <w:rPr>
                <w:color w:val="000000"/>
                <w:sz w:val="21"/>
                <w:szCs w:val="21"/>
                <w:u w:val="single"/>
              </w:rPr>
              <w:t xml:space="preserve">постановление Администрации города Салехарда от 16 мая 2017 года № 712 «Об утверждении порядка реализации мероприятий по ресоциализации и социальной адаптации лиц, освободившихся из мест лишения свободы»</w:t>
            </w: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202" cy="924782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202" cy="9247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3.0pt;height:72.8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b/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ind w:left="360"/>
              <w:jc w:val="center"/>
              <w:rPr>
                <w:iCs/>
                <w:sz w:val="21"/>
                <w:szCs w:val="21"/>
                <w:u w:val="single"/>
              </w:rPr>
            </w:pPr>
            <w:r>
              <w:rPr>
                <w:b/>
                <w:iCs/>
                <w:sz w:val="21"/>
                <w:szCs w:val="21"/>
                <w:u w:val="single"/>
              </w:rPr>
              <w:t xml:space="preserve">20</w:t>
            </w:r>
            <w:r>
              <w:rPr>
                <w:b/>
                <w:iCs/>
                <w:sz w:val="21"/>
                <w:szCs w:val="21"/>
                <w:u w:val="single"/>
              </w:rPr>
              <w:t xml:space="preserve">24</w:t>
            </w:r>
            <w:r>
              <w:rPr>
                <w:b/>
                <w:iCs/>
                <w:sz w:val="21"/>
                <w:szCs w:val="21"/>
                <w:u w:val="single"/>
              </w:rPr>
              <w:t xml:space="preserve"> год</w:t>
            </w:r>
            <w:r>
              <w:rPr>
                <w:iCs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</w:r>
            <w:r/>
          </w:p>
          <w:p>
            <w:pPr>
              <w:jc w:val="center"/>
              <w:rPr>
                <w:b/>
                <w:bCs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highlight w:val="none"/>
                <w:u w:val="single"/>
              </w:rPr>
            </w:r>
            <w:r>
              <w:rPr>
                <w:b/>
                <w:sz w:val="21"/>
                <w:szCs w:val="21"/>
                <w:highlight w:val="none"/>
                <w:u w:val="single"/>
              </w:rPr>
            </w:r>
            <w:r/>
          </w:p>
          <w:p>
            <w:pPr>
              <w:jc w:val="center"/>
              <w:rPr>
                <w:b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b/>
                <w:sz w:val="21"/>
                <w:szCs w:val="21"/>
                <w:highlight w:val="none"/>
                <w:u w:val="single"/>
              </w:rPr>
            </w:r>
            <w:r>
              <w:rPr>
                <w:b/>
                <w:sz w:val="21"/>
                <w:szCs w:val="21"/>
                <w:highlight w:val="none"/>
                <w:u w:val="single"/>
              </w:rPr>
            </w:r>
            <w:r/>
          </w:p>
          <w:p>
            <w:pPr>
              <w:pStyle w:val="841"/>
              <w:jc w:val="center"/>
              <w:rPr>
                <w:b/>
                <w:bCs/>
                <w:sz w:val="21"/>
                <w:szCs w:val="21"/>
                <w:highlight w:val="none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2. Возмещение работодателю затрат на проведение обязательного предварительного медицинского осмотра лиц, освободившихся из мест лишения свободы</w:t>
            </w:r>
            <w:r>
              <w:rPr>
                <w:b/>
                <w:sz w:val="21"/>
                <w:szCs w:val="21"/>
                <w:u w:val="single"/>
              </w:rPr>
            </w:r>
            <w:r/>
          </w:p>
          <w:p>
            <w:pPr>
              <w:pStyle w:val="862"/>
              <w:ind w:firstLine="539"/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Осуществляется один раз в квартал.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Для заключения договора необходимы </w:t>
            </w:r>
            <w:r>
              <w:rPr>
                <w:b/>
                <w:sz w:val="21"/>
                <w:szCs w:val="21"/>
              </w:rPr>
              <w:t xml:space="preserve">заверенные копии следующих документов: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выписки из Единого государственного реестра юридических лиц/Единого государственного реестра индивидуальных предпринимателей;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договора с медицинской организацией, проводившей обязательный предварительный медицинский осмотр лиц, поступающих на работу, с приложением поименного списка лиц, поступающих на работу;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акта об исполнении договора о проведении обязатель</w:t>
            </w:r>
            <w:r>
              <w:rPr>
                <w:sz w:val="21"/>
                <w:szCs w:val="21"/>
              </w:rPr>
              <w:t xml:space="preserve">ного медицинского осмотра лиц, поступающих на работу, с указанием стоимости медицинских услуг на проведение предварительного медицинского осмотра лиц (конкретного перечня осмотров врачами-специалистами и проведенных исследований и сумм, подлежащих оплате);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платежного документа, подтверждающего расходы работодателя по договору с медицинской организацией, проводившей предварительный медицинский осмотр лиц, поступающих к нему на работу;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пр</w:t>
            </w:r>
            <w:r>
              <w:rPr>
                <w:sz w:val="21"/>
                <w:szCs w:val="21"/>
              </w:rPr>
              <w:t xml:space="preserve">иказов о приеме на работу лиц, получивших заключения по результатам проведения обязательного предварительного медицинского осмотра, подписанные председателем медицинской комиссии и заверенные печатью медицинской организации, проводившей медицинский осмотр;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документов, подтверждающих срок освобождения из учреждения, исполняющего наказание в виде лишения свободы (не более одного года со дня освобождения);</w:t>
            </w:r>
            <w:r/>
          </w:p>
          <w:p>
            <w:pPr>
              <w:pStyle w:val="862"/>
              <w:ind w:firstLine="5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документов, подтверждающих наличие регистрации по месту жительства на территории города Салехарда.</w:t>
            </w:r>
            <w:r/>
          </w:p>
          <w:p>
            <w:pPr>
              <w:pStyle w:val="862"/>
              <w:ind w:firstLine="539"/>
              <w:jc w:val="both"/>
              <w:rPr>
                <w:iCs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 xml:space="preserve">Согласие лица на обработку персональных данных Департаментом оформленное в соответствии со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HYPERLINK "consultantplus://offline/ref=F251685C24F30BD02A54B4C06AA6A675BF1E731FD943386B7F2EB5A09D7ECDA00958701B4418E0DE49P5J"</w:instrText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 xml:space="preserve">статьей 9</w: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Федерального закона от 27.07.2006 № 152-ФЗ «О персональных данных».</w:t>
            </w:r>
            <w:r>
              <w:rPr>
                <w:iCs/>
                <w:sz w:val="21"/>
                <w:szCs w:val="21"/>
                <w:u w:val="single"/>
              </w:rPr>
            </w:r>
            <w:r/>
          </w:p>
        </w:tc>
      </w:tr>
    </w:tbl>
    <w:sectPr>
      <w:footnotePr/>
      <w:endnotePr/>
      <w:type w:val="nextPage"/>
      <w:pgSz w:w="16840" w:h="11907" w:orient="landscape"/>
      <w:pgMar w:top="284" w:right="335" w:bottom="284" w:left="2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Verdana">
    <w:panose1 w:val="020B0606030504020204"/>
  </w:font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19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1"/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1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1"/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1"/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1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1"/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1"/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1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1"/>
        <w:ind w:left="702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19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120" w:hanging="180"/>
        <w:tabs>
          <w:tab w:val="num" w:pos="612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841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"/>
      <w:lvlJc w:val="left"/>
      <w:pPr>
        <w:pStyle w:val="841"/>
        <w:ind w:left="1440" w:hanging="360"/>
        <w:tabs>
          <w:tab w:val="num" w:pos="1440" w:leader="none"/>
        </w:tabs>
      </w:pPr>
      <w:rPr>
        <w:rFonts w:ascii="Symbol" w:hAnsi="Symbol"/>
        <w:color w:val="000000"/>
      </w:rPr>
    </w:lvl>
    <w:lvl w:ilvl="2">
      <w:start w:val="1"/>
      <w:numFmt w:val="decimal"/>
      <w:isLgl w:val="false"/>
      <w:suff w:val="tab"/>
      <w:lvlText w:val="%3."/>
      <w:lvlJc w:val="left"/>
      <w:pPr>
        <w:pStyle w:val="841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41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41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41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41"/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841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4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1"/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536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6296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1"/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1"/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1"/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1"/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1"/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1"/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1"/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1"/>
        <w:ind w:left="702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1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41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41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41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41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41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41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41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41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7"/>
  </w:num>
  <w:num w:numId="3">
    <w:abstractNumId w:val="8"/>
    <w:lvlOverride w:ilvl="0">
      <w:startOverride w:val="0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1"/>
    <w:next w:val="84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link w:val="663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41"/>
    <w:next w:val="84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41"/>
    <w:next w:val="84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841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qFormat/>
    <w:rPr>
      <w:sz w:val="24"/>
      <w:szCs w:val="24"/>
      <w:lang w:val="ru-RU" w:eastAsia="ru-RU" w:bidi="ar-SA"/>
    </w:rPr>
  </w:style>
  <w:style w:type="paragraph" w:styleId="842">
    <w:name w:val="Заголовок 1"/>
    <w:basedOn w:val="841"/>
    <w:next w:val="841"/>
    <w:link w:val="841"/>
    <w:qFormat/>
    <w:pPr>
      <w:keepNext/>
      <w:outlineLvl w:val="0"/>
    </w:pPr>
    <w:rPr>
      <w:b/>
      <w:bCs/>
      <w:sz w:val="28"/>
    </w:rPr>
  </w:style>
  <w:style w:type="paragraph" w:styleId="843">
    <w:name w:val="Заголовок 2"/>
    <w:basedOn w:val="841"/>
    <w:next w:val="841"/>
    <w:link w:val="841"/>
    <w:qFormat/>
    <w:pPr>
      <w:jc w:val="center"/>
      <w:keepNext/>
      <w:outlineLvl w:val="1"/>
    </w:pPr>
    <w:rPr>
      <w:b/>
      <w:bCs/>
      <w:sz w:val="28"/>
    </w:rPr>
  </w:style>
  <w:style w:type="paragraph" w:styleId="844">
    <w:name w:val="Заголовок 3"/>
    <w:basedOn w:val="841"/>
    <w:next w:val="841"/>
    <w:link w:val="841"/>
    <w:qFormat/>
    <w:pPr>
      <w:keepNext/>
      <w:outlineLvl w:val="2"/>
    </w:pPr>
    <w:rPr>
      <w:sz w:val="28"/>
    </w:rPr>
  </w:style>
  <w:style w:type="character" w:styleId="845">
    <w:name w:val="Основной шрифт абзаца"/>
    <w:next w:val="845"/>
    <w:link w:val="841"/>
    <w:uiPriority w:val="1"/>
    <w:semiHidden/>
    <w:unhideWhenUsed/>
  </w:style>
  <w:style w:type="table" w:styleId="846">
    <w:name w:val="Обычная таблица"/>
    <w:next w:val="846"/>
    <w:link w:val="841"/>
    <w:uiPriority w:val="99"/>
    <w:semiHidden/>
    <w:unhideWhenUsed/>
    <w:qFormat/>
    <w:tblPr/>
  </w:style>
  <w:style w:type="numbering" w:styleId="847">
    <w:name w:val="Нет списка"/>
    <w:next w:val="847"/>
    <w:link w:val="841"/>
    <w:uiPriority w:val="99"/>
    <w:semiHidden/>
    <w:unhideWhenUsed/>
  </w:style>
  <w:style w:type="paragraph" w:styleId="848">
    <w:name w:val="Название"/>
    <w:basedOn w:val="841"/>
    <w:next w:val="848"/>
    <w:link w:val="841"/>
    <w:qFormat/>
    <w:pPr>
      <w:jc w:val="center"/>
    </w:pPr>
    <w:rPr>
      <w:b/>
      <w:bCs/>
    </w:rPr>
  </w:style>
  <w:style w:type="paragraph" w:styleId="849">
    <w:name w:val="Основной текст"/>
    <w:basedOn w:val="841"/>
    <w:next w:val="849"/>
    <w:link w:val="841"/>
    <w:pPr>
      <w:jc w:val="center"/>
    </w:pPr>
  </w:style>
  <w:style w:type="paragraph" w:styleId="850">
    <w:name w:val="Основной текст 2"/>
    <w:basedOn w:val="841"/>
    <w:next w:val="850"/>
    <w:link w:val="841"/>
    <w:pPr>
      <w:jc w:val="center"/>
    </w:pPr>
    <w:rPr>
      <w:sz w:val="48"/>
    </w:rPr>
  </w:style>
  <w:style w:type="paragraph" w:styleId="851">
    <w:name w:val="Основной текст с отступом 2"/>
    <w:basedOn w:val="841"/>
    <w:next w:val="851"/>
    <w:link w:val="841"/>
    <w:pPr>
      <w:ind w:left="360" w:firstLine="540"/>
      <w:jc w:val="both"/>
    </w:pPr>
    <w:rPr>
      <w:sz w:val="28"/>
    </w:rPr>
  </w:style>
  <w:style w:type="paragraph" w:styleId="852">
    <w:name w:val="Текст выноски"/>
    <w:basedOn w:val="841"/>
    <w:next w:val="852"/>
    <w:link w:val="841"/>
    <w:semiHidden/>
    <w:rPr>
      <w:rFonts w:ascii="Tahoma" w:hAnsi="Tahoma" w:cs="Tahoma"/>
      <w:sz w:val="16"/>
      <w:szCs w:val="16"/>
    </w:rPr>
  </w:style>
  <w:style w:type="paragraph" w:styleId="853">
    <w:name w:val="Абзац списка"/>
    <w:basedOn w:val="841"/>
    <w:next w:val="853"/>
    <w:link w:val="84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54">
    <w:name w:val="ConsPlusTitle"/>
    <w:next w:val="854"/>
    <w:link w:val="841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55">
    <w:name w:val="Без интервала"/>
    <w:next w:val="855"/>
    <w:link w:val="84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856">
    <w:name w:val="Знак"/>
    <w:basedOn w:val="841"/>
    <w:next w:val="856"/>
    <w:link w:val="8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57">
    <w:name w:val="ConsPlusNonformat"/>
    <w:next w:val="857"/>
    <w:link w:val="841"/>
    <w:uiPriority w:val="99"/>
    <w:rPr>
      <w:rFonts w:ascii="Courier New" w:hAnsi="Courier New" w:cs="Courier New"/>
      <w:lang w:val="ru-RU" w:eastAsia="ru-RU" w:bidi="ar-SA"/>
    </w:rPr>
  </w:style>
  <w:style w:type="paragraph" w:styleId="858">
    <w:name w:val="Обычный (веб)"/>
    <w:basedOn w:val="841"/>
    <w:next w:val="858"/>
    <w:link w:val="841"/>
    <w:uiPriority w:val="99"/>
    <w:unhideWhenUsed/>
    <w:pPr>
      <w:spacing w:before="100" w:beforeAutospacing="1" w:after="100" w:afterAutospacing="1"/>
    </w:pPr>
  </w:style>
  <w:style w:type="paragraph" w:styleId="859">
    <w:name w:val="Основной текст с отступом"/>
    <w:basedOn w:val="841"/>
    <w:next w:val="859"/>
    <w:link w:val="860"/>
    <w:pPr>
      <w:ind w:left="283"/>
      <w:spacing w:after="120"/>
    </w:pPr>
  </w:style>
  <w:style w:type="character" w:styleId="860">
    <w:name w:val="Основной текст с отступом Знак"/>
    <w:basedOn w:val="845"/>
    <w:next w:val="860"/>
    <w:link w:val="859"/>
    <w:rPr>
      <w:sz w:val="24"/>
      <w:szCs w:val="24"/>
    </w:rPr>
  </w:style>
  <w:style w:type="character" w:styleId="861">
    <w:name w:val="Выделение"/>
    <w:basedOn w:val="845"/>
    <w:next w:val="861"/>
    <w:link w:val="841"/>
    <w:uiPriority w:val="20"/>
    <w:qFormat/>
    <w:rPr>
      <w:i/>
      <w:iCs/>
    </w:rPr>
  </w:style>
  <w:style w:type="paragraph" w:styleId="862">
    <w:name w:val="ConsPlusNormal"/>
    <w:next w:val="862"/>
    <w:link w:val="841"/>
    <w:rPr>
      <w:sz w:val="24"/>
      <w:szCs w:val="24"/>
      <w:lang w:val="ru-RU" w:eastAsia="ru-RU" w:bidi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KTSZN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социальная помощь малоимущим гражданам</dc:title>
  <dc:creator>Guzeeva</dc:creator>
  <cp:revision>16</cp:revision>
  <dcterms:created xsi:type="dcterms:W3CDTF">2020-09-22T06:37:00Z</dcterms:created>
  <dcterms:modified xsi:type="dcterms:W3CDTF">2024-04-05T10:57:27Z</dcterms:modified>
  <cp:version>786432</cp:version>
</cp:coreProperties>
</file>