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0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12"/>
        <w:gridCol w:w="23"/>
        <w:gridCol w:w="155"/>
        <w:gridCol w:w="1362"/>
        <w:gridCol w:w="1189"/>
        <w:gridCol w:w="3402"/>
        <w:gridCol w:w="1843"/>
        <w:gridCol w:w="1547"/>
        <w:gridCol w:w="1120"/>
        <w:gridCol w:w="2534"/>
        <w:gridCol w:w="216"/>
      </w:tblGrid>
      <w:tr>
        <w:tblPrEx/>
        <w:trPr>
          <w:gridAfter w:val="1"/>
        </w:trPr>
        <w:tc>
          <w:tcPr>
            <w:gridSpan w:val="3"/>
            <w:tcBorders>
              <w:left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Категория получателей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Размер, периодичность выплат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52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Перечень документов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ff"/>
                <w:sz w:val="24"/>
                <w:szCs w:val="24"/>
              </w:rPr>
              <w:t xml:space="preserve">Департамент по труду и социальной защите населения Администрации города Салехарда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PT Astra Serif" w:hAnsi="PT Astra Serif"/>
                <w:b/>
                <w:color w:val="0000ff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О СОЦИАЛЬНОЙ ПОДДЕРЖКЕ </w:t>
            </w: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</w:r>
          </w:p>
          <w:p>
            <w:pPr>
              <w:jc w:val="center"/>
              <w:rPr>
                <w:rFonts w:ascii="PT Astra Serif" w:hAnsi="PT Astra Serif"/>
                <w:b/>
                <w:color w:val="0000ff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СЕМЕЙ, ИМЕЮЩИХ ДЕТЕЙ</w:t>
            </w: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, ВНЕ ЗАВИСИМОСТИ ОТ ДОХОДА СЕМЬИ</w:t>
            </w: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</w:r>
          </w:p>
          <w:p>
            <w:pPr>
              <w:jc w:val="center"/>
              <w:rPr>
                <w:rFonts w:ascii="PT Astra Serif" w:hAnsi="PT Astra Serif"/>
                <w:b/>
                <w:bCs/>
                <w:sz w:val="48"/>
                <w:szCs w:val="48"/>
              </w:rPr>
            </w:pPr>
            <w:r>
              <w:rPr>
                <w:rFonts w:ascii="PT Astra Serif" w:hAnsi="PT Astra Serif"/>
                <w:b/>
                <w:sz w:val="48"/>
                <w:szCs w:val="48"/>
              </w:rPr>
            </w:r>
            <w:r>
              <w:rPr>
                <w:rFonts w:ascii="PT Astra Serif" w:hAnsi="PT Astra Serif"/>
                <w:b/>
                <w:sz w:val="48"/>
                <w:szCs w:val="48"/>
              </w:rPr>
            </w:r>
          </w:p>
          <w:p>
            <w:pPr>
              <w:jc w:val="center"/>
              <w:rPr>
                <w:rFonts w:ascii="PT Astra Serif" w:hAnsi="PT Astra Serif"/>
                <w:b/>
                <w:bCs/>
                <w:sz w:val="48"/>
                <w:szCs w:val="48"/>
              </w:rPr>
            </w:pPr>
            <w:r>
              <w:rPr>
                <w:rFonts w:ascii="PT Astra Serif" w:hAnsi="PT Astra Serif"/>
                <w:b/>
                <w:bCs/>
                <w:sz w:val="48"/>
                <w:szCs w:val="48"/>
              </w:rPr>
            </w:r>
            <w:r>
              <w:rPr>
                <w:rFonts w:ascii="PT Astra Serif" w:hAnsi="PT Astra Serif"/>
                <w:b/>
                <w:bCs/>
                <w:sz w:val="48"/>
                <w:szCs w:val="48"/>
              </w:rPr>
            </w:r>
          </w:p>
          <w:p>
            <w:pPr>
              <w:jc w:val="center"/>
              <w:rPr>
                <w:rFonts w:ascii="PT Astra Serif" w:hAnsi="PT Astra Serif"/>
                <w:b/>
                <w:bCs/>
                <w:sz w:val="48"/>
                <w:szCs w:val="48"/>
              </w:rPr>
            </w:pPr>
            <w:r>
              <w:rPr>
                <w:rFonts w:ascii="PT Astra Serif" w:hAnsi="PT Astra Serif"/>
                <w:lang w:eastAsia="ru-RU"/>
              </w:rPr>
            </w:r>
            <w:r>
              <w:rPr>
                <w:rFonts w:ascii="PT Astra Serif" w:hAnsi="PT Astra Serif"/>
                <w:b/>
                <w:bCs/>
                <w:sz w:val="48"/>
                <w:szCs w:val="48"/>
              </w:rPr>
            </w:r>
          </w:p>
          <w:p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Документы предоставляются: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в Многофункциональный центр </w:t>
            </w:r>
            <w:r>
              <w:rPr>
                <w:rFonts w:ascii="PT Astra Serif" w:hAnsi="PT Astra Serif" w:cs="Times New Roman"/>
                <w:b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ул. </w:t>
            </w:r>
            <w:r>
              <w:rPr>
                <w:rFonts w:ascii="PT Astra Serif" w:hAnsi="PT Astra Serif" w:cs="Times New Roman"/>
                <w:b/>
              </w:rPr>
              <w:t xml:space="preserve">Броднева</w:t>
            </w:r>
            <w:r>
              <w:rPr>
                <w:rFonts w:ascii="PT Astra Serif" w:hAnsi="PT Astra Serif" w:cs="Times New Roman"/>
                <w:b/>
              </w:rPr>
              <w:t xml:space="preserve">, д. 15</w:t>
            </w:r>
            <w:r>
              <w:rPr>
                <w:rFonts w:ascii="PT Astra Serif" w:hAnsi="PT Astra Serif" w:cs="Times New Roman"/>
                <w:b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или</w:t>
            </w:r>
            <w:r>
              <w:rPr>
                <w:rFonts w:ascii="PT Astra Serif" w:hAnsi="PT Astra Serif" w:cs="Times New Roman"/>
                <w:b/>
              </w:rPr>
            </w:r>
          </w:p>
          <w:p>
            <w:pPr>
              <w:pStyle w:val="865"/>
              <w:jc w:val="center"/>
              <w:spacing w:before="0" w:beforeAutospacing="0" w:after="0" w:afterAutospacing="0"/>
              <w:rPr>
                <w:rFonts w:ascii="PT Astra Serif" w:hAnsi="PT Astra Serif" w:eastAsia="Calibri"/>
                <w:b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через государственную информационную систему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</w:p>
          <w:p>
            <w:pPr>
              <w:pStyle w:val="865"/>
              <w:jc w:val="center"/>
              <w:spacing w:before="0" w:beforeAutospacing="0" w:after="0" w:afterAutospacing="0"/>
              <w:rPr>
                <w:rFonts w:ascii="PT Astra Serif" w:hAnsi="PT Astra Serif" w:eastAsia="Calibri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 «Единый портал государственных и муниципальных услуг (функций)» (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https://dszn.yanao.ru,</w:t>
            </w:r>
            <w:r>
              <w:rPr>
                <w:rFonts w:ascii="PT Astra Serif" w:hAnsi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Calibri"/>
                <w:b/>
                <w:bCs/>
                <w:sz w:val="22"/>
                <w:szCs w:val="22"/>
              </w:rPr>
            </w:r>
          </w:p>
          <w:p>
            <w:pPr>
              <w:pStyle w:val="865"/>
              <w:jc w:val="center"/>
              <w:spacing w:before="0" w:beforeAutospacing="0" w:after="0" w:afterAutospacing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hyperlink r:id="rId10" w:tooltip="http://www.gosuslugi.ru" w:history="1">
              <w:r>
                <w:rPr>
                  <w:rStyle w:val="864"/>
                  <w:rFonts w:ascii="PT Astra Serif" w:hAnsi="PT Astra Serif" w:eastAsia="Calibri"/>
                  <w:b/>
                  <w:sz w:val="22"/>
                  <w:szCs w:val="22"/>
                </w:rPr>
                <w:t xml:space="preserve">www.gosuslugi.ru</w:t>
              </w:r>
            </w:hyperlink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).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Calibri"/>
                <w:i/>
                <w:color w:val="984806" w:themeColor="accent6" w:themeShade="80"/>
              </w:rPr>
            </w:pPr>
            <w:r>
              <w:rPr>
                <w:rStyle w:val="867"/>
                <w:rFonts w:ascii="PT Astra Serif" w:hAnsi="PT Astra Serif" w:cs="Arial"/>
                <w:i/>
                <w:color w:val="984806" w:themeColor="accent6" w:themeShade="80"/>
                <w:shd w:val="clear" w:color="auto" w:fill="ffffff"/>
              </w:rPr>
              <w:t xml:space="preserve">Единый контакт центр</w:t>
            </w:r>
            <w:r>
              <w:rPr>
                <w:rFonts w:ascii="PT Astra Serif" w:hAnsi="PT Astra Serif" w:eastAsia="Calibri"/>
                <w:i/>
                <w:color w:val="984806" w:themeColor="accent6" w:themeShade="80"/>
              </w:rPr>
            </w:r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pP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тел. 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8-800-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1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000-0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0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1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 (звонок бесплатный) 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r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pP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в рабочие дни с 08.00 до 20.00.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r>
          </w:p>
          <w:p>
            <w:pPr>
              <w:pStyle w:val="866"/>
              <w:rPr>
                <w:rFonts w:ascii="PT Astra Serif" w:hAnsi="PT Astra Serif" w:eastAsiaTheme="minorHAnsi"/>
                <w:b/>
                <w:color w:val="00b0f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eastAsiaTheme="minorHAnsi"/>
                <w:b/>
                <w:color w:val="00b0f0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eastAsiaTheme="minorHAnsi"/>
                <w:b/>
                <w:color w:val="00b0f0"/>
                <w:sz w:val="24"/>
                <w:szCs w:val="24"/>
                <w:lang w:eastAsia="en-US"/>
              </w:rPr>
            </w:r>
          </w:p>
          <w:p>
            <w:pPr>
              <w:pStyle w:val="866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 xml:space="preserve">По вопросам назначения мер социальной поддержки обращаться </w:t>
            </w:r>
            <w:r>
              <w:rPr>
                <w:rFonts w:ascii="PT Astra Serif" w:hAnsi="PT Astra Serif"/>
                <w:b/>
              </w:rPr>
              <w:t xml:space="preserve">по адресу: </w:t>
            </w: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  <w:bCs/>
              </w:rPr>
            </w:r>
          </w:p>
          <w:p>
            <w:pPr>
              <w:pStyle w:val="866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  <w:t xml:space="preserve">г</w:t>
            </w:r>
            <w:r>
              <w:rPr>
                <w:rFonts w:ascii="PT Astra Serif" w:hAnsi="PT Astra Serif"/>
                <w:b/>
              </w:rPr>
              <w:t xml:space="preserve">. Салехард</w:t>
            </w:r>
            <w:r>
              <w:rPr>
                <w:rFonts w:ascii="PT Astra Serif" w:hAnsi="PT Astra Serif"/>
                <w:b/>
              </w:rPr>
              <w:t xml:space="preserve">,</w:t>
            </w:r>
            <w:r>
              <w:rPr>
                <w:rFonts w:ascii="PT Astra Serif" w:hAnsi="PT Astra Serif"/>
                <w:b/>
              </w:rPr>
              <w:t xml:space="preserve"> ул. Матросова, д.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36,</w:t>
            </w: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  <w:bCs/>
              </w:rPr>
            </w:r>
          </w:p>
          <w:p>
            <w:pPr>
              <w:pStyle w:val="866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тел. 5 21 41, 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доб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. 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, 220, 233</w:t>
            </w:r>
            <w:r>
              <w:rPr>
                <w:rFonts w:ascii="PT Astra Serif" w:hAnsi="PT Astra Serif"/>
                <w:b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left w:val="single" w:color="auto" w:sz="4" w:space="0"/>
            </w:tcBorders>
            <w:tcW w:w="108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eastAsia="Calibri" w:cs="Times New Roman"/>
                <w:b/>
              </w:rPr>
              <w:t xml:space="preserve">8</w:t>
            </w:r>
            <w:r>
              <w:rPr>
                <w:rFonts w:ascii="PT Astra Serif" w:hAnsi="PT Astra Serif" w:eastAsia="Calibri" w:cs="Times New Roman"/>
                <w:b/>
              </w:rPr>
              <w:t xml:space="preserve">. Единовременная выплата (срок обращения за данной выплатой не позднее шести месяцев со дня рождения ребенка, проживание родителей в течение года в автономном округе)</w:t>
            </w:r>
            <w:r>
              <w:rPr>
                <w:rFonts w:ascii="PT Astra Serif" w:hAnsi="PT Astra Serif" w:cs="Times New Roman"/>
                <w:b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207"/>
        </w:trPr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второго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ребенка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6 636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</w:tc>
        <w:tc>
          <w:tcPr>
            <w:gridSpan w:val="2"/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Свидетельства о рождении всех детей (оригинал и копия);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 Лицевой счет заявителя в кредитной организации.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третьего 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ребенка 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последующих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904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одновременно двух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269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одновременно трех и более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904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270"/>
        </w:trPr>
        <w:tc>
          <w:tcPr>
            <w:gridSpan w:val="7"/>
            <w:tcBorders>
              <w:bottom w:val="single" w:color="auto" w:sz="4" w:space="0"/>
            </w:tcBorders>
            <w:tcW w:w="10885" w:type="dxa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eastAsia="Calibri" w:cs="Times New Roman"/>
              </w:rPr>
              <w:outlineLvl w:val="1"/>
            </w:pPr>
            <w:r>
              <w:rPr>
                <w:rFonts w:ascii="PT Astra Serif" w:hAnsi="PT Astra Serif" w:eastAsia="Calibri" w:cs="Times New Roman"/>
                <w:b/>
              </w:rPr>
              <w:t xml:space="preserve">9. Ежегодное материальное поощрение ко Дню матери </w:t>
            </w:r>
            <w:r>
              <w:rPr>
                <w:rFonts w:ascii="PT Astra Serif" w:hAnsi="PT Astra Serif" w:eastAsia="Calibri" w:cs="Times New Roman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10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ind w:firstLine="35"/>
              <w:rPr>
                <w:rFonts w:ascii="PT Astra Serif" w:hAnsi="PT Astra Serif" w:eastAsia="Calibri" w:cs="Times New Roman"/>
                <w:sz w:val="18"/>
                <w:szCs w:val="18"/>
              </w:rPr>
              <w:outlineLvl w:val="1"/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Многодетным матерям, родившим (усыновившим) и воспитавшим (воспитывающим) пять и более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35"/>
              <w:rPr>
                <w:rFonts w:ascii="PT Astra Serif" w:hAnsi="PT Astra Serif" w:eastAsia="Calibri" w:cs="Times New Roman"/>
                <w:sz w:val="20"/>
                <w:szCs w:val="20"/>
              </w:rPr>
              <w:outlineLvl w:val="1"/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1 330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  на каждого ребенка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  <w:p>
            <w:pPr>
              <w:rPr>
                <w:rFonts w:ascii="PT Astra Serif" w:hAnsi="PT Astra Serif" w:eastAsia="Calibri" w:cs="Times New Roman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ежегодно</w:t>
            </w:r>
            <w:r>
              <w:rPr>
                <w:rFonts w:ascii="PT Astra Serif" w:hAnsi="PT Astra Serif" w:eastAsia="Calibri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Для лиц, не состоящих на учете в 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департаменте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, необходимо предоставление следующих документов: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Свидетельства о рождении всех детей (оригинал и копия); 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b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2. Лицевой счет заявителя в кред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итной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организации.</w:t>
            </w:r>
            <w:r>
              <w:rPr>
                <w:rFonts w:ascii="PT Astra Serif" w:hAnsi="PT Astra Serif" w:eastAsia="Calibri" w:cs="Times New Roman"/>
                <w:b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717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4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b/>
              </w:rPr>
            </w:pPr>
            <w:r>
              <w:rPr>
                <w:rFonts w:ascii="PT Astra Serif" w:hAnsi="PT Astra Serif" w:eastAsia="Calibri" w:cs="Times New Roman"/>
                <w:b/>
              </w:rPr>
              <w:t xml:space="preserve">10. 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Р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еализаци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я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 реабилитационных путевок для отдельных категорий граждан Ямало-Ненецкого автономного округа на базе Центр медицинской и социальной реабилитации «Пышма»</w:t>
            </w:r>
            <w:r>
              <w:rPr>
                <w:rFonts w:ascii="PT Astra Serif" w:hAnsi="PT Astra Serif" w:eastAsia="Calibri" w:cs="Times New Roman"/>
                <w:b/>
              </w:rPr>
            </w:r>
          </w:p>
          <w:p>
            <w:pPr>
              <w:jc w:val="center"/>
              <w:rPr>
                <w:rFonts w:ascii="PT Astra Serif" w:hAnsi="PT Astra Serif" w:eastAsia="Calibri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Право на предоставление реабилитационных путевок имеют граждане Российской Федерации, постоянно проживающие на территории Ямало-Ненецкого автономного округа </w:t>
            </w:r>
            <w:r>
              <w:rPr>
                <w:rFonts w:ascii="PT Astra Serif" w:hAnsi="PT Astra Serif" w:eastAsia="Andale Sans UI"/>
                <w:color w:val="000000"/>
                <w:sz w:val="18"/>
                <w:szCs w:val="18"/>
                <w:highlight w:val="white"/>
                <w:lang w:bidi="en-US"/>
              </w:rPr>
              <w:t xml:space="preserve">и не имеющие регистрации за пределами Ямало-Ненецкого автономного округа,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нуждающиеся в реабилитации согласно </w:t>
            </w:r>
            <w:r>
              <w:rPr>
                <w:rFonts w:ascii="PT Astra Serif" w:hAnsi="PT Astra Serif" w:eastAsia="Andale Sans UI"/>
                <w:color w:val="000000"/>
                <w:sz w:val="18"/>
                <w:szCs w:val="18"/>
                <w:highlight w:val="white"/>
                <w:lang w:bidi="en-US"/>
              </w:rPr>
              <w:t xml:space="preserve">ИПРА инвалида (ИПРА ребенка-инвалида)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и (или) рекомендации врача, из числа:</w:t>
            </w:r>
            <w:r>
              <w:rPr>
                <w:rFonts w:ascii="PT Astra Serif" w:hAnsi="PT Astra Serif"/>
                <w:sz w:val="18"/>
                <w:szCs w:val="18"/>
              </w:rPr>
            </w:r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а) инвалид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ы старше 18 лет по зрению 1 группы, инвалиды 2 группы по зрению, инвалиды 2 группы по общему заболеванию, имеющие заболевания органов зрения, инвалиды 3 группы (слабовидящие граждане) – при неблагоприятном прогнозе, за исключением инвалидов – колясочников;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r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б) дети-инвалиды после кохлеарной имплантации и дети-инвалиды после слухопротезирования (от 1 года), за исключением детей-инвалидов-колясочников;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r>
          </w:p>
          <w:p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в) дети-инвалиды по зрению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val="en-US" w:bidi="en-US"/>
              </w:rPr>
              <w:t xml:space="preserve"> 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(от 1 года), за исключением детей-инвалидов-колясочников;</w:t>
            </w:r>
            <w:r>
              <w:rPr>
                <w:rFonts w:ascii="PT Astra Serif" w:hAnsi="PT Astra Serif"/>
                <w:sz w:val="18"/>
                <w:szCs w:val="18"/>
              </w:rPr>
            </w:r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г) дети-инвалиды, имеющие заболевания органов зрения (от 3 лет), за исключением детей-инвалидов-колясочников;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r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д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) дети, дети-инвалиды с патологией речи (от 2,5 лет), за исключением детей-инвалидов-колясочников;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r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е) дети с ослабленным зрением (от 3 лет).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r>
          </w:p>
          <w:p>
            <w:pPr>
              <w:rPr>
                <w:rFonts w:ascii="PT Astra Serif" w:hAnsi="PT Astra Serif" w:eastAsia="Andale Sans UI"/>
                <w:sz w:val="18"/>
                <w:szCs w:val="18"/>
                <w:highlight w:val="non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lang w:bidi="en-US"/>
              </w:rPr>
              <w:t xml:space="preserve">Возраст граждан определяется на дату начала осуществления реабилитации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none"/>
                <w:lang w:bidi="en-US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none"/>
                <w:lang w:bidi="en-US"/>
              </w:rPr>
            </w:r>
            <w:r>
              <w:rPr>
                <w:rFonts w:ascii="PT Astra Serif" w:hAnsi="PT Astra Serif" w:eastAsia="Andale Sans UI"/>
                <w:sz w:val="18"/>
                <w:szCs w:val="18"/>
                <w:highlight w:val="none"/>
                <w:lang w:bidi="en-US"/>
              </w:rPr>
            </w:r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Категория получателей</w:t>
            </w:r>
            <w:r>
              <w:rPr>
                <w:rFonts w:ascii="PT Astra Serif" w:hAnsi="PT Astra Serif" w:cs="Times New Roman"/>
                <w:b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Размер, периодичность выплат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Перечень документов</w:t>
            </w:r>
            <w:r>
              <w:rPr>
                <w:rFonts w:ascii="PT Astra Serif" w:hAnsi="PT Astra Serif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33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Категория получателей</w:t>
            </w:r>
            <w:r>
              <w:rPr>
                <w:rFonts w:ascii="PT Astra Serif" w:hAnsi="PT Astra Serif" w:cs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Размер, периодичность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 выплат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7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Перечень документов</w:t>
            </w:r>
            <w:r>
              <w:rPr>
                <w:rFonts w:ascii="PT Astra Serif" w:hAnsi="PT Astra Serif" w:cs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6"/>
            <w:tcBorders>
              <w:bottom w:val="single" w:color="auto" w:sz="4" w:space="0"/>
            </w:tcBorders>
            <w:tcW w:w="90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1. Ежемесячное пособие на ребенка-инвалида</w:t>
            </w:r>
            <w:r>
              <w:rPr>
                <w:rFonts w:ascii="PT Astra Serif" w:hAnsi="PT Astra Serif"/>
                <w:sz w:val="18"/>
                <w:szCs w:val="18"/>
              </w:rPr>
            </w:r>
          </w:p>
        </w:tc>
        <w:tc>
          <w:tcPr>
            <w:gridSpan w:val="5"/>
            <w:tcBorders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5. Региональный материнский (семейный) капитал</w:t>
            </w:r>
            <w:r>
              <w:rPr>
                <w:rFonts w:ascii="PT Astra Serif" w:hAnsi="PT Astra Serif"/>
                <w:sz w:val="18"/>
                <w:szCs w:val="18"/>
              </w:rPr>
            </w:r>
          </w:p>
        </w:tc>
      </w:tr>
      <w:tr>
        <w:tblPrEx/>
        <w:trPr>
          <w:trHeight w:val="2026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Матери либ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 отцы, (усыновители, опекуны, попечители) на каждого рожденного, усыновленного, принятого под опеку (попечительство), совместно проживающего с ним ребенка-инвалида до достижения ребенком возраста 18 лет либо до истечения срока признания ребенка инвалидом.</w:t>
            </w:r>
            <w:r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656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ежемесячно</w:t>
            </w:r>
            <w: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Свидетельство о рождении ребенка (оригинал и копия);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 Справка  федерального учреждения медико-социальной экспертизы (оригинал и копия);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3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.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Лицевой счет заявителя в  кредитной организации.</w:t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tcW w:w="338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Право на материнский (семейный) капитал возникает при рождении (усыновлении) ребенка (детей), имеющего (имеющих) гражданство Российской Федерации, у граждан Российской Федерации, </w:t>
            </w:r>
            <w:r>
              <w:rPr>
                <w:rFonts w:ascii="PT Astra Serif" w:hAnsi="PT Astra Serif" w:cs="Times New Roman"/>
                <w:sz w:val="16"/>
                <w:szCs w:val="16"/>
                <w:u w:val="single"/>
              </w:rPr>
              <w:t xml:space="preserve">постоянно проживающих на территории автономного округа 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не менее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 одного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года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: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</w:r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1)женщин, родивших (усыновивших) третьего ребенка 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последующих детей начиная с 01.01.2020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</w:r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)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мужчин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,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вляющихся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единственными усыновителями третьего и последующих детей, если решение суда об усыновлении вступило в за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конную силу начиная с 01.01.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2020;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</w:r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3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) женщин, родивших (усыновивши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х) второго ребенка начиная с 01.01.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2020 года;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</w:r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4) 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мужчин, являющихся единственными усыновителями второго ребенка, если решение суда об усыновлении 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вступи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ло в законную силу начиная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с 01.01.2020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</w:r>
          </w:p>
        </w:tc>
        <w:tc>
          <w:tcPr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150 000,00 руб.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при рождении второго ребенка;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500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 000,00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при рождении третьего и последующих детей.</w:t>
            </w:r>
            <w:r>
              <w:rPr>
                <w:rFonts w:ascii="PT Astra Serif" w:hAnsi="PT Astra Serif" w:cs="Times New Roman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>
              <w:rPr>
                <w:rFonts w:ascii="PT Astra Serif" w:hAnsi="PT Astra Serif" w:cs="Times New Roman"/>
                <w:b/>
                <w:sz w:val="19"/>
                <w:szCs w:val="19"/>
              </w:rPr>
            </w:r>
            <w:r>
              <w:rPr>
                <w:rFonts w:ascii="PT Astra Serif" w:hAnsi="PT Astra Serif" w:cs="Times New Roman"/>
                <w:b/>
                <w:sz w:val="19"/>
                <w:szCs w:val="19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  <w:t xml:space="preserve">1.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Документы, подтверждающие принадлежность к гражданству РФ ребенка, в связи с рождением (усыновлением) которого возникло право на материнский (семейный) капитал;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Документы, подтверждающие рождение (усыновление)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315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90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2. Ежемесячная выплата по уходу за ребенком-инвалидом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  <w:tc>
          <w:tcPr>
            <w:gridSpan w:val="2"/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>
              <w:rPr>
                <w:rFonts w:ascii="PT Astra Serif" w:hAnsi="PT Astra Serif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</w:tr>
      <w:tr>
        <w:tblPrEx/>
        <w:trPr>
          <w:trHeight w:val="1575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Одному из неработающих трудоспособных родителей (усыновителей, опекунов, попечителей), либо работающих на условиях неполного рабочего времени и осуществляющих уход за ребенком-инвалидом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24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219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ежемесячно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</w:r>
          </w:p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1. Свидетельство о рождении ребенка-инвалида (оригинал и копия);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 xml:space="preserve">. 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Справка  федерального учреждения медико-социальной экспертизы (оригинал и копия);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</w:r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3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. Трудовая книжка лица, осуществляющего уход за ребенком-инвалидом (оригинал и копия);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eastAsia="Calibri" w:cs="Times New Roman"/>
                <w:sz w:val="16"/>
                <w:szCs w:val="16"/>
                <w:highlight w:val="none"/>
              </w:rPr>
            </w:r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  <w:highlight w:val="none"/>
              </w:rPr>
              <w:t xml:space="preserve">4. Документ, подтверждающий осуществление трудовой деятельности на условиях неполного рабочего времени;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</w:r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5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. Лицевой счет заявителя в кред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итной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 организации.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</w:r>
          </w:p>
        </w:tc>
        <w:tc>
          <w:tcPr>
            <w:gridSpan w:val="2"/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>
              <w:rPr>
                <w:rFonts w:ascii="PT Astra Serif" w:hAnsi="PT Astra Serif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</w:tr>
      <w:tr>
        <w:tblPrEx/>
        <w:trPr>
          <w:trHeight w:val="167"/>
        </w:trPr>
        <w:tc>
          <w:tcPr>
            <w:gridSpan w:val="4"/>
            <w:tcBorders>
              <w:top w:val="single" w:color="auto" w:sz="4" w:space="0"/>
            </w:tcBorders>
            <w:tcW w:w="4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Ежегодное обеспечение одеждой, обувью для посещения учебных занятий, спортивной формой и канцелярскими принадлежностями учащегося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 осваивающего образовательные программы начального общего, основного общего или среднего общего образования в образовательной организации, расположенной на территории ЯНАО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с использованием электронного сертификата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16 095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3.1.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Предоставление меры социальной поддержки в виде полноценного п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итания с использованием электронного сертификата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(от 0 до 1 года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6 500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руб.,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от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1 года до 3 лет 2 000, 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3.2.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Единовременное пособие на учащегося в школе из малоимущей семьи,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осваивающего образовательные программы начального общего, основного общего или среднего общего образования в образовательной организации, расположенной на территории ЯНАО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(5 365,00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contextualSpacing w:val="0"/>
              <w:ind w:left="0" w:right="0" w:firstLine="540"/>
              <w:jc w:val="center"/>
              <w:spacing w:before="0"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3.3. Обеспечение семей с новорожденными детьми подарочными комплектами детских принадлежностей 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либо электронным сертификатом на покупку детских принадлежностей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</w:r>
          </w:p>
          <w:p>
            <w:pPr>
              <w:contextualSpacing w:val="0"/>
              <w:ind w:left="0" w:right="0" w:firstLine="540"/>
              <w:jc w:val="center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(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с 01 января 2025 года - 37 000,00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45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PT Astra Serif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1.</w:t>
            </w: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 Свидетельство о рождении, о заключении брака, об усыновлении либо удостоверение многодетной семьи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rFonts w:ascii="Liberation Serif" w:hAnsi="Liberation Serif" w:cs="PT Astra Serif"/>
                <w:sz w:val="16"/>
                <w:szCs w:val="16"/>
              </w:rPr>
            </w:r>
          </w:p>
          <w:p>
            <w:pPr>
              <w:pStyle w:val="865"/>
              <w:ind w:firstLine="37"/>
              <w:jc w:val="both"/>
              <w:spacing w:before="0" w:beforeAutospacing="0" w:after="0" w:afterAutospacing="0"/>
              <w:rPr>
                <w:rFonts w:ascii="Liberation Serif" w:hAnsi="Liberation Serif" w:cs="PT Astra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2.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ведения, подтверждающие установление опеки (попечительства);</w:t>
            </w:r>
            <w:r>
              <w:rPr>
                <w:sz w:val="16"/>
                <w:szCs w:val="16"/>
              </w:rPr>
            </w:r>
            <w:r>
              <w:rPr>
                <w:rFonts w:ascii="Liberation Serif" w:hAnsi="Liberation Serif" w:cs="PT Astra Serif"/>
                <w:sz w:val="16"/>
                <w:szCs w:val="16"/>
              </w:rPr>
            </w:r>
          </w:p>
          <w:p>
            <w:pPr>
              <w:pStyle w:val="865"/>
              <w:ind w:firstLine="37"/>
              <w:jc w:val="both"/>
              <w:spacing w:before="0" w:beforeAutospacing="0" w:after="0" w:afterAutospacing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3.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ведения образовательной организации о факте, форме и периоде получения образования, сведения о наличии государственной аккредитации образовательной программы обучающегося</w:t>
            </w: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  <w:p>
            <w:pPr>
              <w:pStyle w:val="865"/>
              <w:ind w:firstLine="37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4.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Сведения на основании заключения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психолого-медико-педагогической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комиссии, созданной исполнительным органом автономного округа, осуществляющим государственное управление в сфере образования, или органом местного самоуправления, осуществляющим государственное управление в сфере образовани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я, содержащего выводы о наличии у ребенка особенностей в физическом и (или) психическом развитии и (или) отклонений в поведении и наличии необходимости создания условий для получения ребенком образования, коррекции нарушений развития и социальной адаптации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на основе специальных педагогических подходов, рекомендации по определению формы получения образования, образовательной программы, которую ребенок может освоить, форм и методов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психолого-медико-педагогической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помощи, созданию специальных условий для получения образования.</w:t>
            </w:r>
            <w:r>
              <w:rPr>
                <w:sz w:val="16"/>
                <w:szCs w:val="16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>
              <w:rPr>
                <w:rFonts w:ascii="PT Astra Serif" w:hAnsi="PT Astra Serif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</w:tr>
      <w:tr>
        <w:tblPrEx/>
        <w:trPr>
          <w:trHeight w:val="255"/>
        </w:trPr>
        <w:tc>
          <w:tcPr>
            <w:gridSpan w:val="4"/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</w:p>
        </w:tc>
        <w:tc>
          <w:tcPr>
            <w:gridSpan w:val="2"/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6. Ежемесячная социальная выплата</w:t>
            </w:r>
            <w:r>
              <w:rPr>
                <w:rFonts w:ascii="PT Astra Serif" w:hAnsi="PT Astra Serif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2849"/>
        </w:trPr>
        <w:tc>
          <w:tcPr>
            <w:gridSpan w:val="4"/>
            <w:tcBorders>
              <w:bottom w:val="single" w:color="auto" w:sz="4" w:space="0"/>
            </w:tcBorders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389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cs="PT Astra Serif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Многодетные семьи, проживающие 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ind w:firstLine="35"/>
              <w:jc w:val="center"/>
              <w:rPr>
                <w:rFonts w:ascii="PT Astra Serif" w:hAnsi="PT Astra Serif" w:cs="PT Astra Serif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в п.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Пельвож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1 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9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,00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на семью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ежемесячно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1.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Документы, подтверждающие установление опеки (попечительства)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;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2. С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видетельства о рождении, об усыновлении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 xml:space="preserve">;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3. С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правка с места учебы, подтверждающая факт обучения (для обучающихся по очной форме по основным образовательным программам в образовательных организациях, осуществляющих образовательную деятельность, не достигших возраста 23 лет).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</w:tc>
      </w:tr>
      <w:tr>
        <w:tblPrEx/>
        <w:trPr>
          <w:trHeight w:val="207"/>
        </w:trPr>
        <w:tc>
          <w:tcPr>
            <w:gridSpan w:val="4"/>
            <w:tcBorders>
              <w:top w:val="single" w:color="auto" w:sz="4" w:space="0"/>
            </w:tcBorders>
            <w:tcW w:w="4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Arial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4. </w:t>
            </w: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Жилищно</w:t>
            </w: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 – коммунальная выплата*</w:t>
            </w:r>
            <w:r>
              <w:rPr>
                <w:rFonts w:ascii="PT Astra Serif" w:hAnsi="PT Astra Serif" w:cs="Arial"/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45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*Мера социальной поддержки </w:t>
            </w:r>
            <w:r>
              <w:rPr>
                <w:rFonts w:ascii="PT Astra Serif" w:hAnsi="PT Astra Serif" w:eastAsia="Calibri"/>
                <w:sz w:val="16"/>
                <w:szCs w:val="16"/>
              </w:rPr>
              <w:t xml:space="preserve">по оплате жилого помещения и коммунальных услуг в виде жилищно-коммунальной выплаты в размере 30 процентов окружного стандарта стоимости коммунальных услуг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.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jc w:val="both"/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Для предоставления 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жилищно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 – коммунальной выплаты необходимо дополнительно представить: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</w:r>
          </w:p>
          <w:p>
            <w:pPr>
              <w:jc w:val="both"/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1.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Документ, подтверждающий начисление и оплату пла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тежей за жилищно-коммунальные услуги по месту жительства за последний перед подачей заявления месяц (за исключением документа и информации, подтверждающих уплату гражданами ежемесячных взносов на капитальный ремонт общего имущества в многоквартирном доме).</w:t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389" w:type="dxa"/>
            <w:vMerge w:val="continue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cs="PT Astra Serif"/>
                <w:sz w:val="18"/>
                <w:szCs w:val="18"/>
              </w:rPr>
              <w:outlineLvl w:val="1"/>
            </w:pP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</w:tr>
      <w:tr>
        <w:tblPrEx/>
        <w:trPr>
          <w:trHeight w:val="225"/>
        </w:trPr>
        <w:tc>
          <w:tcPr>
            <w:gridSpan w:val="4"/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</w:p>
        </w:tc>
        <w:tc>
          <w:tcPr>
            <w:gridSpan w:val="2"/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7. Обеспечение новогодними подарками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</w:p>
        </w:tc>
      </w:tr>
      <w:tr>
        <w:tblPrEx/>
        <w:trPr>
          <w:trHeight w:val="283"/>
        </w:trPr>
        <w:tc>
          <w:tcPr>
            <w:gridSpan w:val="4"/>
            <w:tcBorders>
              <w:bottom w:val="single" w:color="auto" w:sz="4" w:space="0"/>
            </w:tcBorders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389" w:type="dxa"/>
            <w:textDirection w:val="lrTb"/>
            <w:noWrap w:val="false"/>
          </w:tcPr>
          <w:p>
            <w:pPr>
              <w:ind w:firstLine="177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ети от 1 года до 17 лет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включительно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из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числа: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детей, оставшихся без попечения родителей;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детей-сирот;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детей-инвалидов;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 из многодетных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и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малоимущих семей.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8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1.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П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аспорт либо иной документ, удостоверяющий личность;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2.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 С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видетельство о рождении ребенка (детей);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3. 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огласие на обработку персональных данных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6838" w:h="11906" w:orient="landscape"/>
      <w:pgMar w:top="284" w:right="284" w:bottom="170" w:left="45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ndale Sans UI">
    <w:panose1 w:val="02000603000000000000"/>
  </w:font>
  <w:font w:name="Calibri">
    <w:panose1 w:val="020F0502020204030204"/>
  </w:font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theme="minorBid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basedOn w:val="857"/>
    <w:link w:val="708"/>
    <w:uiPriority w:val="99"/>
  </w:style>
  <w:style w:type="paragraph" w:styleId="710">
    <w:name w:val="Footer"/>
    <w:basedOn w:val="856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57"/>
    <w:link w:val="710"/>
    <w:uiPriority w:val="99"/>
  </w:style>
  <w:style w:type="paragraph" w:styleId="712">
    <w:name w:val="Caption"/>
    <w:basedOn w:val="856"/>
    <w:next w:val="856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>
    <w:name w:val="List Paragraph"/>
    <w:basedOn w:val="856"/>
    <w:uiPriority w:val="34"/>
    <w:qFormat/>
    <w:pPr>
      <w:contextualSpacing/>
      <w:ind w:left="720"/>
    </w:pPr>
  </w:style>
  <w:style w:type="paragraph" w:styleId="862">
    <w:name w:val="Balloon Text"/>
    <w:basedOn w:val="856"/>
    <w:link w:val="863"/>
    <w:uiPriority w:val="99"/>
    <w:semiHidden/>
    <w:unhideWhenUsed/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basedOn w:val="857"/>
    <w:link w:val="862"/>
    <w:uiPriority w:val="99"/>
    <w:semiHidden/>
    <w:rPr>
      <w:rFonts w:ascii="Tahoma" w:hAnsi="Tahoma" w:cs="Tahoma"/>
      <w:sz w:val="16"/>
      <w:szCs w:val="16"/>
    </w:rPr>
  </w:style>
  <w:style w:type="character" w:styleId="864">
    <w:name w:val="Hyperlink"/>
    <w:basedOn w:val="857"/>
    <w:unhideWhenUsed/>
    <w:rPr>
      <w:color w:val="0000ff"/>
      <w:u w:val="single"/>
    </w:rPr>
  </w:style>
  <w:style w:type="paragraph" w:styleId="865">
    <w:name w:val="Normal (Web)"/>
    <w:basedOn w:val="85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>
    <w:name w:val="No Spacing"/>
    <w:uiPriority w:val="1"/>
    <w:qFormat/>
    <w:rPr>
      <w:rFonts w:eastAsiaTheme="minorEastAsia"/>
      <w:lang w:eastAsia="ru-RU"/>
    </w:rPr>
  </w:style>
  <w:style w:type="character" w:styleId="867">
    <w:name w:val="Strong"/>
    <w:basedOn w:val="85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3DFE-9A53-45E7-B9D4-C8D4A180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2019-02-09T08:05:00Z</dcterms:created>
  <dcterms:modified xsi:type="dcterms:W3CDTF">2025-11-24T12:39:42Z</dcterms:modified>
</cp:coreProperties>
</file>