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162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  <w:gridCol w:w="5285"/>
      </w:tblGrid>
      <w:tr>
        <w:trPr>
          <w:trHeight w:val="10913"/>
        </w:trPr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Заявители для возмещения расходов по оплате отдыха и оздоровления многодетной семьи подают заявление в орган социальной защиты населения в течение 6 месяцев после окончания отдыха и оздоровления.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Орган социальной защиты населения в срок не более 10 рабочих дней с момента регистрации заявления с документами принимает решение о возмещении расходов по оплате отдыха и оздоровления либо отказе в возмещении расходов по оплате отдыха и оздоровления.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/>
          </w:p>
          <w:p>
            <w:pPr>
              <w:ind w:firstLine="54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Пере</w:t>
            </w:r>
            <w:r>
              <w:rPr>
                <w:rFonts w:ascii="PT Astra Serif" w:hAnsi="PT Astra Serif" w:cs="PT Astra Serif"/>
                <w:b/>
              </w:rPr>
              <w:t xml:space="preserve">чень документов (сведений), необходимых для возмещения расходов по оплате отдыха и оздоровления многодетной семьи:</w:t>
            </w:r>
            <w:r/>
          </w:p>
          <w:p>
            <w:pPr>
              <w:jc w:val="both"/>
              <w:rPr>
                <w:rFonts w:ascii="Liberation Serif" w:hAnsi="Liberation Serif" w:cs="Liberation Serif"/>
                <w:bCs/>
                <w:sz w:val="21"/>
                <w:szCs w:val="21"/>
              </w:rPr>
            </w:pPr>
            <w:r>
              <w:rPr>
                <w:rFonts w:ascii="PT Astra Serif" w:hAnsi="PT Astra Serif" w:cs="PT Astra Serif"/>
                <w:bCs/>
                <w:sz w:val="21"/>
                <w:szCs w:val="21"/>
              </w:rPr>
              <w:t xml:space="preserve">      </w:t>
            </w:r>
            <w:r>
              <w:rPr>
                <w:rFonts w:ascii="Liberation Serif" w:hAnsi="Liberation Serif" w:cs="Liberation Serif"/>
                <w:bCs/>
                <w:sz w:val="21"/>
                <w:szCs w:val="21"/>
              </w:rPr>
              <w:t xml:space="preserve">- копия (копии) свидетельства о рождении ребенка (детей) либо удостоверение многодетной семьи;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rPr>
                <w:rFonts w:ascii="Liberation Serif" w:hAnsi="Liberation Serif" w:cs="Liberation Serif"/>
                <w:bCs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sz w:val="21"/>
                <w:szCs w:val="21"/>
              </w:rPr>
              <w:t xml:space="preserve">      - копия свидетельства о заключении</w:t>
            </w:r>
            <w:r>
              <w:rPr>
                <w:rFonts w:ascii="Liberation Serif" w:hAnsi="Liberation Serif" w:cs="Liberation Serif"/>
                <w:bCs/>
                <w:sz w:val="21"/>
                <w:szCs w:val="21"/>
              </w:rPr>
              <w:t xml:space="preserve"> брака (при наличии заключенного брака между членами многодетной семьи);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rPr>
                <w:rFonts w:ascii="Liberation Serif" w:hAnsi="Liberation Serif" w:cs="Liberation Serif"/>
                <w:bCs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sz w:val="21"/>
                <w:szCs w:val="21"/>
              </w:rPr>
              <w:t xml:space="preserve">      - справка образовательной организации об обучении ребенка (детей), достигшего 18-летнего возраста, по очной форме по основным образовательным программам, до окончания им (ими) т</w:t>
            </w:r>
            <w:r>
              <w:rPr>
                <w:rFonts w:ascii="Liberation Serif" w:hAnsi="Liberation Serif" w:cs="Liberation Serif"/>
                <w:bCs/>
                <w:sz w:val="21"/>
                <w:szCs w:val="21"/>
              </w:rPr>
              <w:t xml:space="preserve">акого обучения, но не дольше чем до достижения им (ими) возраста 23 лет;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rPr>
                <w:rFonts w:ascii="Liberation Serif" w:hAnsi="Liberation Serif" w:cs="Liberation Serif"/>
                <w:sz w:val="21"/>
                <w:szCs w:val="2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cs="Liberation Serif"/>
                <w:bCs/>
                <w:sz w:val="21"/>
                <w:szCs w:val="21"/>
              </w:rPr>
              <w:t xml:space="preserve">      </w:t>
            </w:r>
            <w:r>
              <w:rPr>
                <w:rFonts w:ascii="Liberation Serif" w:hAnsi="Liberation Serif" w:cs="Liberation Serif"/>
                <w:bCs/>
                <w:sz w:val="21"/>
                <w:szCs w:val="21"/>
                <w:highlight w:val="white"/>
              </w:rPr>
              <w:t xml:space="preserve">- </w:t>
            </w:r>
            <w:r>
              <w:rPr>
                <w:rFonts w:ascii="Liberation Serif" w:hAnsi="Liberation Serif" w:cs="Liberation Serif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highlight w:val="white"/>
              </w:rPr>
              <w:t xml:space="preserve">оригиналы документов, подтверждающих отдых и оздоровление, в том числе отрывной талон к санаторно-курортной путевке без лечения, отрывной талон к путевке, отрывной талон к ку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highlight w:val="white"/>
              </w:rPr>
              <w:t xml:space="preserve">рсовке, справка (документ) организации отдыха и оздоровления с подтверждением факта пребывания членов многодетной семьи и срока пребывания, а также туристическая путевка или договор о реализации туристского продукта и пассажирские билеты (посадочные талоны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highlight w:val="white"/>
              </w:rPr>
              <w:t xml:space="preserve">) либо их копии, заверенные в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highlight w:val="white"/>
              </w:rPr>
              <w:t xml:space="preserve">порядке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highlight w:val="white"/>
              </w:rPr>
              <w:t xml:space="preserve">, предусмотренном законодательством Российской Федерации, до места отдыха и оздоровления и обратно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;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 w:val="21"/>
                <w:szCs w:val="21"/>
              </w:rPr>
              <w:t xml:space="preserve">      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- сведения о видах экономической деятельности индивидуального предпринимателя, предоставляющего отдых и оздоровле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ние, согласно выписке из Единого государственного реестра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индивидуальных предпринимателей;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 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документы, подтверждающие оплату отдыха и оздоровления многодетной семьей (в случае осуществления отдыха и оздоровления многодетной семьи с ребенком (детьм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и) в возрасте до 3 лет, дополнительно представляется документ, содержащий сведения о стоимости отдыха и оздоровления ребенка (детей) в возрасте до 3 лет).</w:t>
            </w:r>
            <w:r/>
          </w:p>
          <w:p>
            <w:pPr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При оплате отдыха и оздоровления иным лицом представляется расписка о передаче денежных сре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дств чл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ено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м многодетной семьи иному лицу для оплаты отдыха и оздоровления.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В случае если в договоре о реализации туристического продукта не указана стоимость проживания, представляется документ, выданный туристической организацией, содержащий сведения о фамилии, име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ни, отчестве (при наличии) членов многодетной семьи, периоде проживания и стоимости проживания, включенной в общую цену туристического продукта.</w:t>
            </w:r>
            <w:r/>
          </w:p>
          <w:p>
            <w:pPr>
              <w:pStyle w:val="70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  <w:r>
              <w:rPr>
                <w:rFonts w:ascii="PT Astra Serif" w:hAnsi="PT Astra Serif"/>
                <w:b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76475" cy="1371600"/>
                      <wp:effectExtent l="0" t="0" r="0" b="0"/>
                      <wp:docPr id="1" name="_x0000_i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764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9.2pt;height:108.0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703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Документы предоставляются в Многофункциональный центр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предоставления государственных и муниципальных услуг </w:t>
            </w:r>
            <w:r/>
          </w:p>
          <w:p>
            <w:pPr>
              <w:pStyle w:val="703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ул. Броднева, д. 15</w:t>
            </w:r>
            <w:r/>
          </w:p>
          <w:p>
            <w:pPr>
              <w:pStyle w:val="70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  <w:r/>
          </w:p>
          <w:p>
            <w:pPr>
              <w:jc w:val="center"/>
              <w:rPr>
                <w:rFonts w:ascii="PT Astra Serif" w:hAnsi="PT Astra Serif" w:eastAsia="Calibri"/>
                <w:b/>
                <w:i/>
                <w:color w:val="984806"/>
              </w:rPr>
            </w:pPr>
            <w:r>
              <w:rPr>
                <w:rFonts w:ascii="PT Astra Serif" w:hAnsi="PT Astra Serif" w:eastAsia="Calibri"/>
                <w:b/>
                <w:i/>
                <w:color w:val="984806"/>
              </w:rPr>
              <w:t xml:space="preserve">Телефон Единого контакт-цента:</w:t>
            </w:r>
            <w:r/>
          </w:p>
          <w:p>
            <w:pPr>
              <w:jc w:val="center"/>
              <w:rPr>
                <w:rFonts w:ascii="PT Astra Serif" w:hAnsi="PT Astra Serif" w:eastAsia="Calibri"/>
                <w:b/>
                <w:i/>
                <w:color w:val="984806"/>
              </w:rPr>
            </w:pPr>
            <w:r>
              <w:rPr>
                <w:rFonts w:ascii="PT Astra Serif" w:hAnsi="PT Astra Serif" w:eastAsia="Calibri"/>
                <w:b/>
                <w:i/>
                <w:color w:val="984806"/>
              </w:rPr>
              <w:t xml:space="preserve">8-800-10-000-01 (звонок бесплатный) </w:t>
            </w:r>
            <w:r/>
          </w:p>
          <w:p>
            <w:pPr>
              <w:jc w:val="center"/>
              <w:rPr>
                <w:rFonts w:ascii="PT Astra Serif" w:hAnsi="PT Astra Serif" w:eastAsia="Calibri"/>
                <w:b/>
                <w:i/>
                <w:color w:val="984806"/>
              </w:rPr>
            </w:pPr>
            <w:r>
              <w:rPr>
                <w:rFonts w:ascii="PT Astra Serif" w:hAnsi="PT Astra Serif" w:eastAsia="Calibri"/>
                <w:b/>
                <w:i/>
                <w:color w:val="984806"/>
              </w:rPr>
              <w:t xml:space="preserve">в рабочие дни с 08.00 до 20.00.</w:t>
            </w:r>
            <w:r/>
          </w:p>
          <w:p>
            <w:pPr>
              <w:pStyle w:val="70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По вопросам </w:t>
            </w:r>
            <w:r>
              <w:rPr>
                <w:rFonts w:ascii="PT Astra Serif" w:hAnsi="PT Astra Serif" w:cs="PT Astra Serif"/>
                <w:b/>
              </w:rPr>
              <w:t xml:space="preserve">возмещения расходов по оплате отдыха и оздоровления многодетной семьи</w:t>
            </w:r>
            <w:r>
              <w:rPr>
                <w:rFonts w:ascii="PT Astra Serif" w:hAnsi="PT Astra Serif"/>
                <w:b/>
              </w:rPr>
              <w:t xml:space="preserve"> обращаться</w:t>
            </w:r>
            <w:r/>
          </w:p>
          <w:p>
            <w:pPr>
              <w:pStyle w:val="70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по адресу: г</w:t>
            </w:r>
            <w:r>
              <w:rPr>
                <w:rFonts w:ascii="PT Astra Serif" w:hAnsi="PT Astra Serif"/>
                <w:b/>
              </w:rPr>
              <w:t xml:space="preserve">. Салехард, ул. Матросова, д. 36,</w:t>
            </w:r>
            <w:r/>
          </w:p>
          <w:p>
            <w:pPr>
              <w:pStyle w:val="70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в отдел по вопросам семьи и детства</w:t>
            </w:r>
            <w:r/>
          </w:p>
          <w:p>
            <w:pPr>
              <w:pStyle w:val="70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тел. 5-21-41, доб. 249</w:t>
            </w:r>
            <w:r/>
          </w:p>
          <w:p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W w:w="52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/>
                <w:bCs/>
                <w:sz w:val="10"/>
                <w:szCs w:val="10"/>
              </w:rPr>
            </w:pPr>
            <w:r>
              <w:rPr>
                <w:rFonts w:ascii="PT Astra Serif" w:hAnsi="PT Astra Serif"/>
                <w:b/>
                <w:bCs/>
                <w:sz w:val="10"/>
                <w:szCs w:val="10"/>
              </w:rPr>
            </w:r>
            <w:r/>
          </w:p>
          <w:p>
            <w:pPr>
              <w:jc w:val="center"/>
              <w:tabs>
                <w:tab w:val="left" w:pos="2592" w:leader="none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Департамент по труду и социальной защите населения Администрации города Салехарда</w:t>
            </w:r>
            <w:r/>
          </w:p>
          <w:p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</w:r>
            <w:r/>
          </w:p>
          <w:p>
            <w:pPr>
              <w:ind w:left="360"/>
              <w:jc w:val="center"/>
              <w:rPr>
                <w:rFonts w:ascii="PT Astra Serif" w:hAnsi="PT Astra Serif"/>
                <w:b/>
                <w:iCs/>
                <w:sz w:val="48"/>
                <w:szCs w:val="48"/>
              </w:rPr>
            </w:pPr>
            <w:r>
              <w:rPr>
                <w:rFonts w:ascii="PT Astra Serif" w:hAnsi="PT Astra Serif" w:cs="PT Astra Serif"/>
                <w:b/>
                <w:bCs/>
                <w:i/>
                <w:sz w:val="48"/>
                <w:szCs w:val="48"/>
              </w:rPr>
              <w:t xml:space="preserve">Организация отдыха и оздоровления многодетных семей</w:t>
            </w:r>
            <w:r>
              <w:rPr>
                <w:rFonts w:ascii="PT Astra Serif" w:hAnsi="PT Astra Serif"/>
                <w:b/>
                <w:iCs/>
                <w:sz w:val="48"/>
                <w:szCs w:val="48"/>
              </w:rPr>
              <w:t xml:space="preserve"> </w:t>
            </w:r>
            <w:r/>
          </w:p>
          <w:p>
            <w:pPr>
              <w:ind w:left="360" w:right="216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</w:r>
            <w:r/>
          </w:p>
          <w:p>
            <w:pPr>
              <w:ind w:firstLine="54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90825" cy="2038350"/>
                      <wp:effectExtent l="0" t="0" r="0" b="0"/>
                      <wp:docPr id="2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90824" cy="2038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9.8pt;height:160.5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u w:val="single"/>
              </w:rPr>
            </w:r>
            <w:r/>
          </w:p>
          <w:p>
            <w:pPr>
              <w:ind w:firstLine="567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u w:val="single"/>
              </w:rPr>
            </w:r>
            <w:r/>
          </w:p>
          <w:p>
            <w:pPr>
              <w:ind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 xml:space="preserve">Основание: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</w:rPr>
              <w:t xml:space="preserve">Постановление Правительства Ямало-Ненецкого автономного округа от          27 января 2014 года № 33-П «Об организации отдыха и оздоровления многодетных семей, проживающих на территории Ямало-Ненецкого автономного округа»</w:t>
            </w:r>
            <w:r/>
          </w:p>
          <w:p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  <w:p>
            <w:pPr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</w:r>
            <w:r/>
          </w:p>
          <w:p>
            <w:pPr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</w:r>
            <w:r/>
          </w:p>
          <w:p>
            <w:pPr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</w:r>
            <w:r/>
          </w:p>
          <w:p>
            <w:pPr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</w:r>
            <w:r/>
          </w:p>
          <w:p>
            <w:pPr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</w:r>
            <w:r/>
          </w:p>
          <w:p>
            <w:pPr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</w:rPr>
              <w:t xml:space="preserve">2025 год</w:t>
            </w:r>
            <w:r/>
          </w:p>
        </w:tc>
      </w:tr>
      <w:tr>
        <w:trPr>
          <w:trHeight w:val="11197"/>
        </w:trPr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</w:rPr>
              <w:t xml:space="preserve">Право на возмещение расходов по оплате отдыха и оздоровления</w:t>
            </w:r>
            <w:r>
              <w:rPr>
                <w:rFonts w:ascii="PT Astra Serif" w:hAnsi="PT Astra Serif"/>
                <w:b/>
              </w:rPr>
              <w:t xml:space="preserve">:</w:t>
            </w:r>
            <w:r/>
          </w:p>
          <w:p>
            <w:pPr>
              <w:jc w:val="both"/>
              <w:rPr>
                <w:rFonts w:ascii="PT Astra Serif" w:hAnsi="PT Astra Serif" w:cs="PT Astra Serif"/>
                <w:bCs/>
                <w:sz w:val="22"/>
                <w:szCs w:val="22"/>
                <w:u w:val="single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 Право на возмещение расходов по оплате отдыха и оздоровления за счет средств окружного бюджета в организациях отдыха и оздоровления, расположенных на территории Российской Федерации и за п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ределами территории Российской Федерации, имеют многодетные семьи, </w:t>
            </w:r>
            <w:r>
              <w:rPr>
                <w:rFonts w:ascii="PT Astra Serif" w:hAnsi="PT Astra Serif" w:cs="PT Astra Serif"/>
                <w:bCs/>
                <w:sz w:val="22"/>
                <w:szCs w:val="22"/>
                <w:u w:val="single"/>
              </w:rPr>
              <w:t xml:space="preserve">постоянно проживающие на территории Ямало-Ненецкого автономного округа.</w:t>
            </w:r>
            <w:r/>
          </w:p>
          <w:p>
            <w:pPr>
              <w:jc w:val="both"/>
              <w:rPr>
                <w:rFonts w:ascii="PT Astra Serif" w:hAnsi="PT Astra Serif" w:cs="PT Astra Serif"/>
                <w:bCs/>
                <w:sz w:val="22"/>
                <w:szCs w:val="22"/>
                <w:u w:val="single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Возмещение расходов по оплате отдыха и оздоровления осуществляется не чаще чем один раз в два года.</w:t>
            </w:r>
            <w:r/>
          </w:p>
          <w:p>
            <w:pPr>
              <w:jc w:val="both"/>
              <w:rPr>
                <w:rFonts w:ascii="PT Astra Serif" w:hAnsi="PT Astra Serif" w:cs="PT Astra Serif"/>
                <w:bCs/>
                <w:sz w:val="22"/>
                <w:szCs w:val="22"/>
                <w:u w:val="single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Двухгодичный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период исчисляется в календарном порядке с 01 января года, на который приходится день начала осуществления отдыха и оздоровления многодетной семьи в организации отдыха и оздоровления либо полного возврата полученных денежных средств на оп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лату отдыха и оздоровления.</w:t>
            </w:r>
            <w:r/>
          </w:p>
          <w:p>
            <w:pPr>
              <w:jc w:val="both"/>
              <w:rPr>
                <w:rFonts w:ascii="PT Astra Serif" w:hAnsi="PT Astra Serif" w:cs="PT Astra Serif"/>
                <w:bCs/>
                <w:sz w:val="22"/>
                <w:szCs w:val="22"/>
                <w:u w:val="single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Право на возмещение расходов по оплате отдыха и оздоровления определяется на дату начала отдыха и оздоровления многодетной семьи.</w:t>
            </w:r>
            <w:r/>
          </w:p>
          <w:p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 Предельная стоимость отдыха и оздоровления определяется исходя из предельной стоимости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санаторно-курортной путевки в сутки на каждого члена многодетной семьи, за исключением детей в возрасте до трех лет, утвержденной постановлением Правительства автономного округа.</w:t>
            </w:r>
            <w:r/>
          </w:p>
          <w:p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 Многодетным семьям, имеющим в своем составе пять и более детей, возмещ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ение расходов по оплате отдыха и оздоровления производится по фактическим расходам, но не выше предельной стоимости санаторно-курортной путевки в сутки в расчете на многодетную семью.</w:t>
            </w:r>
            <w:r/>
          </w:p>
          <w:p>
            <w:pPr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 Многодетным семьям, имеющим в своем составе трех или четырех детей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, возмещение расходов по оплате отдыха и оздоровления производится по фактическим расходам, но не выше 80 процентов предельной стоимости санаторно-курортной путевки в сутки в расчете на многодетную семью.</w:t>
            </w:r>
            <w:r/>
          </w:p>
          <w:p>
            <w:pPr>
              <w:jc w:val="center"/>
              <w:rPr>
                <w:rFonts w:ascii="PT Astra Serif" w:hAnsi="PT Astra Serif"/>
                <w:b/>
                <w:i/>
                <w:u w:val="single"/>
              </w:rPr>
            </w:pPr>
            <w:r>
              <w:rPr>
                <w:rFonts w:ascii="PT Astra Serif" w:hAnsi="PT Astra Serif" w:cs="Calibri"/>
                <w:b/>
                <w:i/>
                <w:u w:val="single"/>
              </w:rPr>
              <w:t xml:space="preserve">Предельная стоимость санаторно-курортной путевки в </w:t>
            </w:r>
            <w:r>
              <w:rPr>
                <w:rFonts w:ascii="PT Astra Serif" w:hAnsi="PT Astra Serif" w:cs="Calibri"/>
                <w:b/>
                <w:i/>
                <w:u w:val="single"/>
              </w:rPr>
              <w:t xml:space="preserve">сутки 1 600,00 рублей.</w:t>
            </w:r>
            <w:r/>
          </w:p>
          <w:p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Возмещение расходов по оплате отдыха и оздоровления многодетным семьям осуществляется из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/>
            <w:bookmarkStart w:id="0" w:name="Par39"/>
            <w:r/>
            <w:bookmarkStart w:id="1" w:name="Par41"/>
            <w:r/>
            <w:bookmarkEnd w:id="0"/>
            <w:r/>
            <w:bookmarkEnd w:id="1"/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расчета фактических дней оздоровления, но не более 21 календарного дня.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Cs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Предварительная оплата отдыха и оздоровления малоимущей многодетной</w:t>
            </w:r>
            <w:r>
              <w:rPr>
                <w:rFonts w:ascii="PT Astra Serif" w:hAnsi="PT Astra Serif" w:cs="PT Astra Serif"/>
                <w:b/>
              </w:rPr>
              <w:t xml:space="preserve"> семье</w:t>
            </w:r>
            <w:r>
              <w:rPr>
                <w:rFonts w:ascii="PT Astra Serif" w:hAnsi="PT Astra Serif"/>
                <w:b/>
              </w:rPr>
              <w:t xml:space="preserve">:</w:t>
            </w:r>
            <w:r/>
          </w:p>
          <w:p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 Предварительная оплата отдыха и оздоровления малоимущей многодетной семье, имеющей (ребенка) детей в возрасте до трех лет, либо многодетной семье, имеющей в своем составе пять и более детей производится на основании договора, заключенного меж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ду органом социальной защиты населения и одним из родителей (усыновителей, опекунов, попечителей) многодетной малоимущей семьи, которым определяется место и период отдыха и оздоровления из расчета фактических дней оздоровления, но не более 14 календарных д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ней, количества членов семьи и предельной стоимости санаторно-курортной путевки в сутки.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Заявители для предварительной оплаты отдыха и оздоровления подают заявление через многофункциональный центр предоставления государственных и муниципальных услуг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путем личного обращения не ранее чем за 60 дней и не позднее чем за 30 дней до отъезда к месту отдыха и оздоровления.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Орган социальной защиты населения в срок не более 5 рабочих дней с даты регистрации заявления с документами принимает решение о пре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дварительной оплате отдыха и оздоровления либо об отказе в предварительной оплате отдыха и оздоровления.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На основании решения о предварительной оплате отдыха и оздоровления в срок не более 5 рабочих дней с даты вынесения решения о предварительной оплате отдыха и оздоровления орган социальной защиты населения заключает договор с заявителем.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</w:t>
            </w:r>
            <w:r/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Многодетная малоимущая семья в течен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ие 60 дней с даты окончания отдыха и оздоровления, указанной в договоре, обязана представить документы, подтверждающие отдых и оздоровление, и документы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/>
            <w:bookmarkStart w:id="0" w:name="undefined"/>
            <w:r/>
            <w:bookmarkEnd w:id="0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подтверждающие оплату отдыха и оздоровления многодетной малоимущей семьей.  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/>
            <w:r/>
          </w:p>
        </w:tc>
        <w:tc>
          <w:tcPr>
            <w:tcW w:w="528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Многодетная малоиму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щая семья обязана полностью вернуть денежные средства до 25 декабря текущего года в случае, если не воспользовалась ими в целях оплаты отдыха и оздоровления.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Окончательный расчет производится в течение 30 календарных дней со дня представления докумен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тов, подтверждающих отдых и оздоровление, и документов, подтверждающих оплату отдыха и оздоровления, по результатам которого осуществляется доплата денежных средств окружного бюджета многодетной малоимущей семье, либо возврат денежных средств окружного бюд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жета многодетной малоимущей семьей, излишне выплаченных при предварительной оплате отдыха и оздоровления. 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pStyle w:val="702"/>
              <w:ind w:lef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Порядок обращения многодетных семей для возмещения расходов по оплате отдыха и оздоровления:</w:t>
            </w:r>
            <w:r/>
          </w:p>
          <w:p>
            <w:pPr>
              <w:jc w:val="both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Выбор организаций отдыха и оздоровления осуществляется многодетными семьями самостоятельно.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Для возмещения расходов по оплате отдыха и оздоровления многодетной семьи один из родителей (усыновителей, опекунов, попечителей) многодетной семьи подает зая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вление об осуществлении отдыха и оздоровления через многофункциональный центр предоставления государственных и муниципальных услуг путем личного обращения либо через представителя.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Заявление и документы могут быть направлены в орган социальной защиты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населения посредством почтовой связи способом, позволяющим подтвердить факт и дату отправления.</w:t>
            </w:r>
            <w:r/>
          </w:p>
          <w:p>
            <w:pPr>
              <w:pStyle w:val="702"/>
              <w:ind w:left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      В случае направления заявления и документов посредством почтовой связи подлинники документов не направляются. Установление личности, свидетельствование п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одлинности подписи заявителя на заявлении,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  <w:t xml:space="preserve">Федерации.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/>
            <w:r/>
          </w:p>
        </w:tc>
      </w:tr>
    </w:tbl>
    <w:p>
      <w:r/>
      <w:r/>
    </w:p>
    <w:sectPr>
      <w:footnotePr/>
      <w:endnotePr/>
      <w:type w:val="nextPage"/>
      <w:pgSz w:w="16840" w:h="11907" w:orient="landscape"/>
      <w:pgMar w:top="142" w:right="335" w:bottom="284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">
    <w:panose1 w:val="02000603000000000000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Verdana">
    <w:panose1 w:val="020B0606030504020204"/>
  </w:font>
  <w:font w:name="Tahoma">
    <w:panose1 w:val="020B060603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color w:val="00000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ascii="Times" w:hAnsi="Times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6"/>
  </w:num>
  <w:num w:numId="2">
    <w:abstractNumId w:val="3"/>
  </w:num>
  <w:num w:numId="3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10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1">
    <w:name w:val="Title Char"/>
    <w:basedOn w:val="681"/>
    <w:link w:val="704"/>
    <w:uiPriority w:val="10"/>
    <w:rPr>
      <w:sz w:val="48"/>
      <w:szCs w:val="48"/>
    </w:rPr>
  </w:style>
  <w:style w:type="character" w:styleId="672">
    <w:name w:val="Subtitle Char"/>
    <w:basedOn w:val="681"/>
    <w:link w:val="706"/>
    <w:uiPriority w:val="11"/>
    <w:rPr>
      <w:sz w:val="24"/>
      <w:szCs w:val="24"/>
    </w:rPr>
  </w:style>
  <w:style w:type="character" w:styleId="673">
    <w:name w:val="Quote Char"/>
    <w:link w:val="708"/>
    <w:uiPriority w:val="29"/>
    <w:rPr>
      <w:i/>
    </w:rPr>
  </w:style>
  <w:style w:type="character" w:styleId="674">
    <w:name w:val="Intense Quote Char"/>
    <w:link w:val="710"/>
    <w:uiPriority w:val="30"/>
    <w:rPr>
      <w:i/>
    </w:rPr>
  </w:style>
  <w:style w:type="character" w:styleId="675">
    <w:name w:val="Footnote Text Char"/>
    <w:link w:val="845"/>
    <w:uiPriority w:val="99"/>
    <w:rPr>
      <w:sz w:val="18"/>
    </w:rPr>
  </w:style>
  <w:style w:type="character" w:styleId="676">
    <w:name w:val="Endnote Text Char"/>
    <w:link w:val="848"/>
    <w:uiPriority w:val="99"/>
    <w:rPr>
      <w:sz w:val="20"/>
    </w:rPr>
  </w:style>
  <w:style w:type="paragraph" w:styleId="677" w:default="1">
    <w:name w:val="Normal"/>
    <w:qFormat/>
    <w:rPr>
      <w:sz w:val="24"/>
      <w:szCs w:val="24"/>
      <w:lang w:eastAsia="ru-RU"/>
    </w:rPr>
  </w:style>
  <w:style w:type="paragraph" w:styleId="678">
    <w:name w:val="Heading 1"/>
    <w:basedOn w:val="677"/>
    <w:next w:val="677"/>
    <w:qFormat/>
    <w:pPr>
      <w:keepNext/>
      <w:outlineLvl w:val="0"/>
    </w:pPr>
    <w:rPr>
      <w:b/>
      <w:bCs/>
      <w:sz w:val="28"/>
    </w:rPr>
  </w:style>
  <w:style w:type="paragraph" w:styleId="679">
    <w:name w:val="Heading 2"/>
    <w:basedOn w:val="677"/>
    <w:next w:val="677"/>
    <w:qFormat/>
    <w:pPr>
      <w:jc w:val="center"/>
      <w:keepNext/>
      <w:outlineLvl w:val="1"/>
    </w:pPr>
    <w:rPr>
      <w:b/>
      <w:bCs/>
      <w:sz w:val="28"/>
    </w:rPr>
  </w:style>
  <w:style w:type="paragraph" w:styleId="680">
    <w:name w:val="Heading 3"/>
    <w:basedOn w:val="677"/>
    <w:next w:val="677"/>
    <w:qFormat/>
    <w:pPr>
      <w:keepNext/>
      <w:outlineLvl w:val="2"/>
    </w:pPr>
    <w:rPr>
      <w:sz w:val="28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 w:customStyle="1">
    <w:name w:val="Heading 1"/>
    <w:basedOn w:val="677"/>
    <w:next w:val="677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 w:customStyle="1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 w:customStyle="1">
    <w:name w:val="Heading 2"/>
    <w:basedOn w:val="677"/>
    <w:next w:val="677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 w:customStyle="1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 w:customStyle="1">
    <w:name w:val="Heading 3"/>
    <w:basedOn w:val="677"/>
    <w:next w:val="677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 w:customStyle="1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 w:customStyle="1">
    <w:name w:val="Heading 4"/>
    <w:basedOn w:val="677"/>
    <w:next w:val="67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 w:customStyle="1">
    <w:name w:val="Heading 5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93" w:customStyle="1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 w:customStyle="1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 w:customStyle="1">
    <w:name w:val="Heading 7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 w:customStyle="1">
    <w:name w:val="Heading 8"/>
    <w:basedOn w:val="677"/>
    <w:next w:val="677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Heading 9"/>
    <w:basedOn w:val="677"/>
    <w:next w:val="677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7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04">
    <w:name w:val="Title"/>
    <w:basedOn w:val="677"/>
    <w:link w:val="705"/>
    <w:qFormat/>
    <w:pPr>
      <w:jc w:val="center"/>
    </w:pPr>
    <w:rPr>
      <w:b/>
      <w:bCs/>
    </w:rPr>
  </w:style>
  <w:style w:type="character" w:styleId="705" w:customStyle="1">
    <w:name w:val="Название Знак"/>
    <w:link w:val="704"/>
    <w:uiPriority w:val="10"/>
    <w:rPr>
      <w:sz w:val="48"/>
      <w:szCs w:val="48"/>
    </w:rPr>
  </w:style>
  <w:style w:type="paragraph" w:styleId="706">
    <w:name w:val="Subtitle"/>
    <w:basedOn w:val="677"/>
    <w:next w:val="677"/>
    <w:link w:val="707"/>
    <w:uiPriority w:val="11"/>
    <w:qFormat/>
    <w:pPr>
      <w:spacing w:before="200" w:after="200"/>
    </w:pPr>
  </w:style>
  <w:style w:type="character" w:styleId="707" w:customStyle="1">
    <w:name w:val="Подзаголовок Знак"/>
    <w:link w:val="706"/>
    <w:uiPriority w:val="11"/>
    <w:rPr>
      <w:sz w:val="24"/>
      <w:szCs w:val="24"/>
    </w:rPr>
  </w:style>
  <w:style w:type="paragraph" w:styleId="708">
    <w:name w:val="Quote"/>
    <w:basedOn w:val="677"/>
    <w:next w:val="677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77"/>
    <w:next w:val="677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 w:customStyle="1">
    <w:name w:val="Header"/>
    <w:basedOn w:val="677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3" w:customStyle="1">
    <w:name w:val="Header Char"/>
    <w:link w:val="712"/>
    <w:uiPriority w:val="99"/>
  </w:style>
  <w:style w:type="paragraph" w:styleId="714" w:customStyle="1">
    <w:name w:val="Footer"/>
    <w:basedOn w:val="677"/>
    <w:link w:val="71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link w:val="714"/>
    <w:uiPriority w:val="99"/>
  </w:style>
  <w:style w:type="paragraph" w:styleId="716" w:customStyle="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link w:val="714"/>
    <w:uiPriority w:val="99"/>
  </w:style>
  <w:style w:type="table" w:styleId="7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>
    <w:name w:val="Hyperlink"/>
    <w:basedOn w:val="681"/>
    <w:unhideWhenUsed/>
    <w:rPr>
      <w:color w:val="0000ff"/>
      <w:u w:val="single"/>
    </w:rPr>
  </w:style>
  <w:style w:type="paragraph" w:styleId="845">
    <w:name w:val="footnote text"/>
    <w:basedOn w:val="677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677"/>
    <w:link w:val="849"/>
    <w:uiPriority w:val="99"/>
    <w:semiHidden/>
    <w:unhideWhenUsed/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677"/>
    <w:next w:val="677"/>
    <w:uiPriority w:val="39"/>
    <w:unhideWhenUsed/>
    <w:pPr>
      <w:spacing w:after="57"/>
    </w:pPr>
  </w:style>
  <w:style w:type="paragraph" w:styleId="852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3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4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5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6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7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8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9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77"/>
    <w:next w:val="677"/>
    <w:uiPriority w:val="99"/>
    <w:unhideWhenUsed/>
  </w:style>
  <w:style w:type="paragraph" w:styleId="862">
    <w:name w:val="Body Text"/>
    <w:basedOn w:val="677"/>
    <w:pPr>
      <w:jc w:val="center"/>
    </w:pPr>
  </w:style>
  <w:style w:type="paragraph" w:styleId="863">
    <w:name w:val="Body Text 2"/>
    <w:basedOn w:val="677"/>
    <w:pPr>
      <w:jc w:val="center"/>
    </w:pPr>
    <w:rPr>
      <w:sz w:val="48"/>
    </w:rPr>
  </w:style>
  <w:style w:type="paragraph" w:styleId="864">
    <w:name w:val="Body Text Indent 2"/>
    <w:basedOn w:val="677"/>
    <w:pPr>
      <w:ind w:left="360" w:firstLine="540"/>
      <w:jc w:val="both"/>
    </w:pPr>
    <w:rPr>
      <w:sz w:val="28"/>
    </w:rPr>
  </w:style>
  <w:style w:type="paragraph" w:styleId="865">
    <w:name w:val="Balloon Text"/>
    <w:basedOn w:val="677"/>
    <w:semiHidden/>
    <w:rPr>
      <w:rFonts w:ascii="Tahoma" w:hAnsi="Tahoma" w:cs="Tahoma"/>
      <w:sz w:val="16"/>
      <w:szCs w:val="16"/>
    </w:rPr>
  </w:style>
  <w:style w:type="paragraph" w:styleId="866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867" w:customStyle="1">
    <w:name w:val="Знак"/>
    <w:basedOn w:val="6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68" w:customStyle="1">
    <w:name w:val="ConsPlusNonformat"/>
    <w:uiPriority w:val="99"/>
    <w:rPr>
      <w:rFonts w:ascii="Courier New" w:hAnsi="Courier New" w:cs="Courier New"/>
      <w:lang w:eastAsia="ru-RU"/>
    </w:rPr>
  </w:style>
  <w:style w:type="paragraph" w:styleId="869">
    <w:name w:val="Normal (Web)"/>
    <w:basedOn w:val="677"/>
    <w:uiPriority w:val="99"/>
    <w:unhideWhenUsed/>
    <w:pPr>
      <w:spacing w:before="100" w:beforeAutospacing="1" w:after="100" w:afterAutospacing="1"/>
    </w:pPr>
  </w:style>
  <w:style w:type="paragraph" w:styleId="870">
    <w:name w:val="Body Text Indent"/>
    <w:basedOn w:val="677"/>
    <w:link w:val="871"/>
    <w:pPr>
      <w:ind w:left="283"/>
      <w:spacing w:after="120"/>
    </w:pPr>
  </w:style>
  <w:style w:type="character" w:styleId="871" w:customStyle="1">
    <w:name w:val="Основной текст с отступом Знак"/>
    <w:basedOn w:val="681"/>
    <w:link w:val="870"/>
    <w:rPr>
      <w:sz w:val="24"/>
      <w:szCs w:val="24"/>
    </w:rPr>
  </w:style>
  <w:style w:type="character" w:styleId="872">
    <w:name w:val="Emphasis"/>
    <w:basedOn w:val="681"/>
    <w:uiPriority w:val="20"/>
    <w:qFormat/>
    <w:rPr>
      <w:i/>
      <w:iCs/>
    </w:rPr>
  </w:style>
  <w:style w:type="paragraph" w:styleId="873" w:customStyle="1">
    <w:name w:val="ConsPlusNormal"/>
    <w:link w:val="874"/>
    <w:rPr>
      <w:sz w:val="24"/>
      <w:szCs w:val="24"/>
    </w:rPr>
  </w:style>
  <w:style w:type="character" w:styleId="874" w:customStyle="1">
    <w:name w:val="ConsPlusNormal Знак"/>
    <w:link w:val="873"/>
    <w:rPr>
      <w:sz w:val="24"/>
      <w:szCs w:val="24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KTSZN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социальная помощь малоимущим гражданам</dc:title>
  <dc:creator>Guzeeva</dc:creator>
  <cp:revision>24</cp:revision>
  <dcterms:created xsi:type="dcterms:W3CDTF">2019-03-27T14:29:00Z</dcterms:created>
  <dcterms:modified xsi:type="dcterms:W3CDTF">2025-04-15T14:08:36Z</dcterms:modified>
  <cp:version>786432</cp:version>
</cp:coreProperties>
</file>