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367"/>
      </w:tblGrid>
      <w:tr>
        <w:trPr>
          <w:trHeight w:val="7676" w:hRule="exact"/>
        </w:trPr>
        <w:tc>
          <w:tcPr>
            <w:tcW w:w="10367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noWrap w:val="false"/>
            <w:tcMar>
              <w:left w:w="80" w:type="dxa"/>
              <w:top w:w="60" w:type="dxa"/>
              <w:right w:w="80" w:type="dxa"/>
              <w:bottom w:w="60" w:type="dxa"/>
            </w:tcMar>
            <w:textDirection w:val="lrTb"/>
            <w:vAlign w:val="center"/>
          </w:tcPr>
          <w:p>
            <w:pPr>
              <w:pStyle w:val="Style_18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Постановление Администрации МО город Салехард от 06.06.2023 N 1540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перечня муниципальных услуг, предоставляемых в многофункциональном центре предоставления государственных и муниципальных услуг на территории муниципального образования город Салехард"</w:t>
            </w:r>
          </w:p>
        </w:tc>
      </w:tr>
    </w:tbl>
    <w:p>
      <w:pPr>
        <w:pStyle w:val="Style_180"/>
        <w:spacing w:before="0" w:after="0" w:line="240" w:lineRule="auto"/>
        <w:ind w:left="0" w:firstLine="0"/>
        <w:jc w:val="left"/>
        <w:outlineLvl w:val="0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jc w:val="left"/>
        <w:rPr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180"/>
        <w:spacing w:before="0" w:after="0" w:line="240" w:lineRule="auto"/>
        <w:ind w:left="0" w:firstLine="0"/>
        <w:jc w:val="left"/>
        <w:outlineLvl w:val="0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АДМИНИСТРАЦИЯ МУНИЦИПАЛЬНОГО ОБРАЗОВАНИЯ ГОРОД САЛЕХАРД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6 июня 2023 г. N 1540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ПЕРЕЧНЯ МУНИЦИПАЛЬНЫХ УСЛУГ, ПРЕДОСТАВЛЯЕМЫХ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МНОГОФУНКЦИОНАЛЬНОМ ЦЕНТРЕ ПРЕДОСТАВЛЕНИЯ ГОСУДАРСТВЕННЫХ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МУНИЦИПАЛЬНЫХ УСЛУГ НА ТЕРРИТОРИИ МУНИЦИПАЛЬНОГО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ОБРАЗОВАНИЯ ГОРОД САЛЕХАРД</w:t>
      </w: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соответствии с </w:t>
      </w:r>
      <w:hyperlink r:id="rId10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частью 6 статьи 15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1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Правительства Ямало-Ненецкого автономного округа от 10 августа 2017 года N 806-П "Об организации предоставления муниципальных услуг в многофункциональных центрах предоставления государственных и муниципальных услуг Ямало-Ненецкого автономного округа", руководствуясь </w:t>
      </w:r>
      <w:hyperlink r:id="rId12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Уставом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муниципального образования город Салехард, Администрация муниципального образования город Салехард постановляет:</w:t>
      </w:r>
    </w:p>
    <w:p>
      <w:pPr>
        <w:pStyle w:val="Style_180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Утвердить прилагаемый  муниципальных услуг, предоставляемых в многофункциональном центре предоставления государственных и муниципальных услуг на территории муниципального образования город Салехард.</w:t>
      </w:r>
    </w:p>
    <w:p>
      <w:pPr>
        <w:pStyle w:val="Style_180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Признать утратившим силу </w:t>
      </w:r>
      <w:hyperlink r:id="rId13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Салехарда от 16 октября 2017 года N 1967 "Об утверждении перечня муниципальных услуг, предоставляемых в многофункциональном центре".</w:t>
      </w:r>
    </w:p>
    <w:p>
      <w:pPr>
        <w:pStyle w:val="Style_180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Опубликовать настоящее постановление в газете "Полярный круг" и разместить на официальном сайте муниципального образования город Салехард.</w:t>
      </w: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Глава города Салехарда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А.Л.ТИТОВСКИЙ</w:t>
      </w:r>
    </w:p>
    <w:p>
      <w:pPr>
        <w:pStyle w:val="Style_180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0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Утвержден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постановлением Администрации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Салехарда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 6 июня 2023 года N 1540</w:t>
      </w: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28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ПЕРЕЧЕНЬ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МУНИЦИПАЛЬНЫХ УСЛУГ, ПРЕДОСТАВЛЯЕМЫХ В МНОГОФУНКЦИОНАЛЬНОМ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ЦЕНТРЕ ПРЕДОСТАВЛЕНИЯ ГОСУДАРСТВЕННЫХ И МУНИЦИПАЛЬНЫХ УСЛУГ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ТЕРРИТОРИИ МУНИЦИПАЛЬНОГО ОБРАЗОВАНИЯ ГОРОД САЛЕХАРД</w:t>
      </w: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22"/>
        <w:gridCol w:w="3969"/>
        <w:gridCol w:w="5635"/>
      </w:tblGrid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муниципальной услуги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структурного подразделения Администрации города Салехарда (муниципального учреждения города Салехарда), предоставляющего муниципальную услугу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градостроительного плана земельного участка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 Салехард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разрешения на ввод объекта в эксплуатацию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Присвоение адреса объекту адресации, изменение и аннулирование такого адреса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Предварительное согласование предоставления земельного участка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земельного участка без проведения торгов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11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гражданам в безвозмездное пользование земельных участков, находящихся в государственной или муниципальной собственности в соответствии с Федеральным </w:t>
            </w:r>
            <w:hyperlink r:id="rId14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законом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12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разрешения на осуществление земляных работ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13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14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15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16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Подготовка и утверждение документации по планировке территории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17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строительства, архитектуры и земельных отношений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18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Выдача справок о принадлежности гражданина к отдельной категории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по труду и социальной защите населения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19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Выплата ежемесячной денежной компенсации отдельным категориям населения города Салехарда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по труду и социальной защите населения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20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Оказание единовременной материальной помощи инвалидам и участникам Великой Отечественной войны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по труду и социальной защите населения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21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дополнительных льгот лицам, удостоенным звания "Почетный гражданин города Салехарда"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по труду и социальной защите населения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22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ежемесячной социальной выплаты многодетным семьям, проживающим в сельской местности (п. Пельвож)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по труду и социальной защите населения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23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Признание садового дома жилым домом или жилого дома садовым домом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жилищно-коммунального хозяйства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24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жилищно-коммунального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25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жилищно-коммунального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26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Перевод жилого помещения в нежилое помещение или нежилого помещения в жилое помещение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жилищно-коммунального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27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Бесплатная передача в собственность граждан Российской Федерации жилых помещений муниципального жилищного фонда на территории муниципального образования город Салехард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жилищной политики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28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социальных выплат на приобретение (строительство) жилья молодым семьям (федеральное мероприятие)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жилищной политики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29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Предоставление социальных выплат на приобретение (строительство) жилья молодым семьям (окружное мероприятие)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Управление жилищной политики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30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Архивный отдел (муниципальный архив)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31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Постановка на учет и направление детей в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образования Администрации города Салехарда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32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Организация отдыха детей в каникулярное время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"Мозаика"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"Северное сияние"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"Морошка"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"Детский сад "Оленёнок"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1 имени Героя Советского Союза И.В. Королькова"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общеобразовательное учреждение "Средняя общеобразовательная школа N 2"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общеобразовательное учреждение "Средняя общеобразовательная школа N 3"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общеобразовательное учреждение "Средняя общеобразовательная школа N 4"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общеобразовательное учреждение "Средняя общеобразовательная школа N 6"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"Обдорская гимназия"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"Лицей"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33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Запись на обучение по дополнительной общеобразовательной программе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"Мамонтёнок"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"Северное сияние"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"Росинка"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"Снегурочка"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дошкольное образовательное учреждение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"Центр развития ребенка - детский сад "Рябинка"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дошкольное образовательное учреждение "Детский сад "Журавушка"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"Крылышки"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"Оленёнок"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"Кристаллик"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"Брусничка"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"Морошка"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"Золотой ключик"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"Умка"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"Улыбка"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"Бережок"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"Мозаика"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"Золотая рыбка"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"Светлячок"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дошкольное образовательное учреждение "Детский сад "Синяя птица"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1 имени Героя Советского Союза И.В. Королькова"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2"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3"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4"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"Средняя общеобразовательная школа N 6"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"Обдорская гимназия"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общеобразовательное учреждение "Лицей"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бюджетное учреждение дополнительного образования "Центр внешкольной работы"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учреждение дополнительного образования "Детско-юношеский центр"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Муниципальное автономное учреждение дополнительного образования Центр детского творчества "Надежда"</w:t>
            </w:r>
          </w:p>
        </w:tc>
      </w:tr>
      <w:tr>
        <w:trPr>
          <w:jc w:val="left"/>
        </w:trPr>
        <w:tc>
          <w:tcPr>
            <w:tcW w:w="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34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Прием заявлений о зачислении в муниципальные образовательные организации города Салехарда, реализующие программы общего образования</w:t>
            </w:r>
          </w:p>
        </w:tc>
        <w:tc>
          <w:tcPr>
            <w:tcW w:w="5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Департамент образования Администрации города Салехарда</w:t>
            </w:r>
          </w:p>
        </w:tc>
      </w:tr>
    </w:tbl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80"/>
        <w:pBdr>
          <w:top w:val="single" w:color="000000" w:sz="4"/>
        </w:pBdr>
        <w:spacing w:before="100" w:after="10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  <w:endnote w:type="continuationSeparator" w:id="1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TimesNewRoman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0"/>
      <w:pBdr>
        <w:bottom w:val="single" w:color="000000" w:sz="12"/>
      </w:pBdr>
      <w:spacing w:before="0" w:after="0" w:line="240" w:lineRule="auto"/>
      <w:jc w:val="center"/>
      <w:rPr>
        <w:sz w:val="1"/>
      </w:rPr>
    </w:pPr>
  </w:p>
  <w:p>
    <w:pPr>
      <w:pStyle w:val="Style_180"/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footnote>
  <w:footnote w:type="continuationSeparator" w:id="1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0"/>
      <w:pBdr>
        <w:bottom w:val="single" w:color="000000" w:sz="12"/>
      </w:pBdr>
      <w:spacing w:before="0" w:after="0" w:line="240" w:lineRule="auto"/>
      <w:jc w:val="center"/>
      <w:rPr>
        <w:sz w:val="1"/>
      </w:rPr>
    </w:pPr>
  </w:p>
  <w:p>
    <w:pPr>
      <w:pStyle w:val="Style_180"/>
      <w:spacing w:before="0" w:after="0" w:line="240" w:lineRule="auto"/>
      <w:jc w:val="center"/>
      <w:rPr>
        <w:sz w:val="10"/>
      </w:rPr>
    </w:pPr>
    <w:r>
      <w:rPr>
        <w:rFonts w:ascii="TimesNewRoman" w:hAnsi="TimesNewRoman" w:eastAsia="TimesNewRoman" w:cs="TimesNewRoman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qFormat/>
    <w:pPr>
      <w:spacing w:before="0" w:after="0" w:line="240" w:lineRule="auto"/>
      <w:jc w:val="left"/>
    </w:pPr>
    <w:rPr>
      <w:sz w:val="24"/>
    </w:rPr>
  </w:style>
  <w:style w:type="paragraph" w:styleId="Style_2">
    <w:name w:val="Heading 1"/>
    <w:basedOn w:val="Style_1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3">
    <w:name w:val="Heading 1 Char"/>
    <w:personalCompose/>
    <w:rPr>
      <w:rFonts w:ascii="Arial" w:hAnsi="Arial" w:eastAsia="Arial" w:cs="Arial"/>
      <w:sz w:val="40"/>
    </w:rPr>
  </w:style>
  <w:style w:type="paragraph" w:styleId="Style_4">
    <w:name w:val="Heading 2"/>
    <w:basedOn w:val="Style_1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5">
    <w:name w:val="Heading 2 Char"/>
    <w:personalCompose/>
    <w:rPr>
      <w:rFonts w:ascii="Arial" w:hAnsi="Arial" w:eastAsia="Arial" w:cs="Arial"/>
      <w:sz w:val="34"/>
    </w:rPr>
  </w:style>
  <w:style w:type="paragraph" w:styleId="Style_6">
    <w:name w:val="Heading 3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7">
    <w:name w:val="Heading 3 Char"/>
    <w:personalCompose/>
    <w:rPr>
      <w:rFonts w:ascii="Arial" w:hAnsi="Arial" w:eastAsia="Arial" w:cs="Arial"/>
      <w:sz w:val="30"/>
    </w:rPr>
  </w:style>
  <w:style w:type="paragraph" w:styleId="Style_8">
    <w:name w:val="Heading 4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9">
    <w:name w:val="Heading 4 Char"/>
    <w:personalCompose/>
    <w:rPr>
      <w:rFonts w:ascii="Arial" w:hAnsi="Arial" w:eastAsia="Arial" w:cs="Arial"/>
      <w:b/>
      <w:sz w:val="26"/>
    </w:rPr>
  </w:style>
  <w:style w:type="paragraph" w:styleId="Style_10">
    <w:name w:val="Heading 5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1">
    <w:name w:val="Heading 5 Char"/>
    <w:personalCompose/>
    <w:rPr>
      <w:rFonts w:ascii="Arial" w:hAnsi="Arial" w:eastAsia="Arial" w:cs="Arial"/>
      <w:b/>
      <w:sz w:val="24"/>
    </w:rPr>
  </w:style>
  <w:style w:type="paragraph" w:styleId="Style_12">
    <w:name w:val="Heading 6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3">
    <w:name w:val="Heading 6 Char"/>
    <w:personalCompose/>
    <w:rPr>
      <w:rFonts w:ascii="Arial" w:hAnsi="Arial" w:eastAsia="Arial" w:cs="Arial"/>
      <w:b/>
      <w:sz w:val="22"/>
    </w:rPr>
  </w:style>
  <w:style w:type="paragraph" w:styleId="Style_14">
    <w:name w:val="Heading 7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5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6">
    <w:name w:val="Heading 8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7">
    <w:name w:val="Heading 8 Char"/>
    <w:personalCompose/>
    <w:rPr>
      <w:rFonts w:ascii="Arial" w:hAnsi="Arial" w:eastAsia="Arial" w:cs="Arial"/>
      <w:i/>
      <w:sz w:val="22"/>
    </w:rPr>
  </w:style>
  <w:style w:type="paragraph" w:styleId="Style_18">
    <w:name w:val="Heading 9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9">
    <w:name w:val="Heading 9 Char"/>
    <w:personalCompose/>
    <w:rPr>
      <w:rFonts w:ascii="Arial" w:hAnsi="Arial" w:eastAsia="Arial" w:cs="Arial"/>
      <w:i/>
      <w:sz w:val="21"/>
    </w:rPr>
  </w:style>
  <w:style w:type="paragraph" w:styleId="Style_20">
    <w:name w:val="List Paragraph"/>
    <w:basedOn w:val="Style_1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21">
    <w:name w:val="No Spacing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22">
    <w:name w:val="Title"/>
    <w:basedOn w:val="Style_1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3">
    <w:name w:val="Title Char"/>
    <w:personalCompose/>
    <w:rPr>
      <w:rFonts w:ascii="Arial" w:hAnsi="Arial" w:eastAsia="Arial" w:cs="Arial"/>
      <w:sz w:val="48"/>
    </w:rPr>
  </w:style>
  <w:style w:type="paragraph" w:styleId="Style_24">
    <w:name w:val="Subtitle"/>
    <w:basedOn w:val="Style_1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5">
    <w:name w:val="Subtitle Char"/>
    <w:personalCompose/>
    <w:rPr>
      <w:rFonts w:ascii="Arial" w:hAnsi="Arial" w:eastAsia="Arial" w:cs="Arial"/>
      <w:sz w:val="24"/>
    </w:rPr>
  </w:style>
  <w:style w:type="paragraph" w:styleId="Style_26">
    <w:name w:val="Quote"/>
    <w:basedOn w:val="Style_1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7">
    <w:name w:val="Quote Char"/>
    <w:personalCompose/>
    <w:rPr>
      <w:rFonts w:ascii="Arial" w:hAnsi="Arial" w:eastAsia="Arial" w:cs="Arial"/>
      <w:i/>
      <w:sz w:val="24"/>
    </w:rPr>
  </w:style>
  <w:style w:type="paragraph" w:styleId="Style_28">
    <w:name w:val="Intense Quote"/>
    <w:basedOn w:val="Style_1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9">
    <w:name w:val="Intense Quote Char"/>
    <w:personalCompose/>
    <w:rPr>
      <w:rFonts w:ascii="Arial" w:hAnsi="Arial" w:eastAsia="Arial" w:cs="Arial"/>
      <w:i/>
      <w:sz w:val="24"/>
    </w:rPr>
  </w:style>
  <w:style w:type="paragraph" w:styleId="Style_30">
    <w:name w:val="Header"/>
    <w:basedOn w:val="Style_1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1">
    <w:name w:val="Header Char"/>
    <w:personalCompose/>
    <w:rPr>
      <w:rFonts w:ascii="Arial" w:hAnsi="Arial" w:eastAsia="Arial" w:cs="Arial"/>
      <w:sz w:val="24"/>
    </w:rPr>
  </w:style>
  <w:style w:type="paragraph" w:styleId="Style_32">
    <w:name w:val="Footer"/>
    <w:basedOn w:val="Style_1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3">
    <w:name w:val="Footer Char"/>
    <w:personalCompose/>
    <w:rPr>
      <w:rFonts w:ascii="Arial" w:hAnsi="Arial" w:eastAsia="Arial" w:cs="Arial"/>
      <w:sz w:val="24"/>
    </w:rPr>
  </w:style>
  <w:style w:type="paragraph" w:styleId="Style_34">
    <w:name w:val="Caption"/>
    <w:basedOn w:val="Style_1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5">
    <w:name w:val="Caption Char"/>
    <w:basedOn w:val="Style_34"/>
    <w:personalCompose/>
    <w:rPr>
      <w:rFonts w:ascii="Arial" w:hAnsi="Arial" w:eastAsia="Arial" w:cs="Arial"/>
      <w:sz w:val="24"/>
    </w:rPr>
  </w:style>
  <w:style w:type="table" w:styleId="Style_36">
    <w:name w:val="Table Grid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Table Grid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8">
    <w:name w:val="Plain Table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9">
    <w:name w:val="Plain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40">
    <w:name w:val="Plain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Plain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Plain Table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1 Light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1 Light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1 Light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2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2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2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3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3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3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4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4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4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5 Dark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75">
    <w:name w:val="Grid Table 5 Dark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6">
    <w:name w:val="Grid Table 5 Dark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7">
    <w:name w:val="Grid Table 5 Dark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8">
    <w:name w:val="Grid Table 6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6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6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6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Grid Table 7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Grid Table 7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Grid Table 7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1 Light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1 Light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1 Light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2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2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2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3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3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3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4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4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4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5 Dark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24">
    <w:name w:val="List Table 5 Dark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25">
    <w:name w:val="List Table 5 Dark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6">
    <w:name w:val="List Table 5 Dark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7">
    <w:name w:val="List Table 6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6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6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6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st Table 7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st Table 7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st Table 7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1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2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3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Lined - Accent 4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Lined - Accent 5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Lined - Accent 6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1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2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3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&amp; Lined - Accent 4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&amp; Lined - Accent 5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&amp; Lined - Accent 6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9">
    <w:name w:val="Bordered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60">
    <w:name w:val="Bordered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61">
    <w:name w:val="Bordered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62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3">
    <w:name w:val="footnote text"/>
    <w:basedOn w:val="Style_1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4">
    <w:name w:val="Footnote Text Char"/>
    <w:personalCompose/>
    <w:rPr>
      <w:rFonts w:ascii="Arial" w:hAnsi="Arial" w:eastAsia="Arial" w:cs="Arial"/>
      <w:sz w:val="18"/>
    </w:rPr>
  </w:style>
  <w:style w:type="character" w:styleId="Style_165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endnote text"/>
    <w:basedOn w:val="Style_1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7">
    <w:name w:val="Endnote Text Char"/>
    <w:personalCompose/>
    <w:rPr>
      <w:rFonts w:ascii="Arial" w:hAnsi="Arial" w:eastAsia="Arial" w:cs="Arial"/>
      <w:sz w:val="20"/>
    </w:rPr>
  </w:style>
  <w:style w:type="character" w:styleId="Style_168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9">
    <w:name w:val="toc 1"/>
    <w:basedOn w:val="Style_1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2"/>
    <w:basedOn w:val="Style_1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3"/>
    <w:basedOn w:val="Style_1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4"/>
    <w:basedOn w:val="Style_1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5"/>
    <w:basedOn w:val="Style_1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6"/>
    <w:basedOn w:val="Style_1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7"/>
    <w:basedOn w:val="Style_1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6">
    <w:name w:val="toc 8"/>
    <w:basedOn w:val="Style_1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7">
    <w:name w:val="toc 9"/>
    <w:basedOn w:val="Style_1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8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9">
    <w:name w:val="table of figures"/>
    <w:basedOn w:val="Style_1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       ConsPlusNormal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Style_181">
    <w:name w:val="       ConsPlusNonforma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18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183">
    <w:name w:val="       ConsPlusCell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18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18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18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187">
    <w:name w:val="       ConsPlusTextList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Style_188">
    <w:name w:val="       ConsPlusTextList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character" w:styleId="Style_189">
    <w:name w:val="Default Paragraph Font"/>
    <w:semiHidden/>
    <w:unhideWhenUsed/>
    <w:personalCompose/>
    <w:rPr>
      <w:rFonts w:ascii="TimesNewRoman" w:hAnsi="TimesNewRoman" w:eastAsia="TimesNewRoman" w:cs="TimesNewRoman"/>
      <w:sz w:val="24"/>
    </w:rPr>
  </w:style>
  <w:style w:type="table" w:styleId="Style_190">
    <w:name w:val="Normal Table"/>
    <w:semiHidden/>
    <w:unhideWhenUsed/>
    <w:personalCompose/>
    <w:pPr>
      <w:spacing w:before="0" w:after="0" w:line="240" w:lineRule="auto"/>
      <w:jc w:val="left"/>
    </w:pPr>
    <w:rPr>
      <w:rFonts w:ascii="TimesNewRoman" w:hAnsi="TimesNewRoman" w:eastAsia="TimesNewRoman" w:cs="TimesNewRoman"/>
      <w:sz w:val="24"/>
    </w:rPr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65798&amp;date=03.05.2024&amp;dst=163&amp;field=134" TargetMode="External"/><Relationship Id="rId11" Type="http://schemas.openxmlformats.org/officeDocument/2006/relationships/hyperlink" Target="https://login.consultant.ru/link/?req=doc&amp;base=RLAW906&amp;n=189281&amp;date=03.05.2024&amp;dst=100013&amp;field=134" TargetMode="External"/><Relationship Id="rId12" Type="http://schemas.openxmlformats.org/officeDocument/2006/relationships/hyperlink" Target="https://login.consultant.ru/link/?req=doc&amp;base=RLAW906&amp;n=187049&amp;date=03.05.2024" TargetMode="External"/><Relationship Id="rId13" Type="http://schemas.openxmlformats.org/officeDocument/2006/relationships/hyperlink" Target="https://login.consultant.ru/link/?req=doc&amp;base=RLAW906&amp;n=178716&amp;date=03.05.2024" TargetMode="External"/><Relationship Id="rId14" Type="http://schemas.openxmlformats.org/officeDocument/2006/relationships/hyperlink" Target="https://login.consultant.ru/link/?req=doc&amp;base=LAW&amp;n=436857&amp;date=03.05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06.06.2023 N 1540&amp;amp;quot;Об утверждении перечня муниципальных услуг, предоставляемых в многофункциональном центре предоставления государственных и муниципальных услуг на территории муниципального образования город Салехард&amp;amp;quot;</dc:title>
  <dc:creator/>
  <cp:lastModifiedBy/>
</cp:coreProperties>
</file>