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ИНФОРМАЦИЯ</w:t>
      </w:r>
      <w:r/>
    </w:p>
    <w:p>
      <w:pPr>
        <w:jc w:val="center"/>
        <w:spacing w:lineRule="auto" w:line="240" w:after="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по проведению отбора на лучшее состояние условий и охраны труда в Ямало-Ненецком автономном округе в 2022 году</w:t>
      </w:r>
      <w:r>
        <w:rPr>
          <w:b/>
        </w:rPr>
      </w:r>
      <w:r/>
    </w:p>
    <w:p>
      <w:pPr>
        <w:jc w:val="center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1. Отбор на лучшее состояние условий и охраны труда в Ямало-Ненецком автономном  округе (далее - автономный округ, отбор) проводится в соответствии с постановлением Правительства Ямало-Ненецкого автономного округа от 21 июня 2021 г. № 533-П </w:t>
        <w:br/>
        <w:t xml:space="preserve">«Об утверждении порядка предоставления грантов в форме субсидий из окружного бюджета на реализацию мероприятий по улучшен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ию условий и охраны труда в Ямало-Ненецком автономном округе» (далее - Порядок). </w:t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Отбор проводится в два этапа по двум номинациям:</w:t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со среднесписочной численностью работников до 500 человек за год,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предшествующий году проведения отбора;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- со среднесписочной численностью работников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свыше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500 человек за год, предшествующий году проведения отбора.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Участниками отбора являются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организации всех организационно-правовых форм </w:t>
        <w:br/>
        <w:t xml:space="preserve">(за исключением государственных и муниципальных учреждений), зарегистрированные в автономном округе в качестве юридического лица и (или) индивидуального предпринимателя, ос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уществляющие деятельность на территории автономного округа без несчастных случаев на производстве с тяжелым, групповым и смертельным исходом и профессиональных заболеваний не менее чем с 01 января года, предшествующего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году проведения отбора, подавшие заявку на участие в отборе по форме согласно приложению </w:t>
        <w:br/>
        <w:t xml:space="preserve">№ 1 к Порядку.</w:t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ab/>
        <w:t xml:space="preserve">Основанием для проведения отбора являются приказ грантодателя, муниципальные правовые акты уполномоченных органов местного самоуправления (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органов местного самоуправления муниципального района, муниципальных и городских округов автономного округа, наделенных отдельными государственными полномочиями автономного округа в сфере трудовых отношений и упр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авления охраной труда Законом автономного округа </w:t>
        <w:br/>
        <w:t xml:space="preserve">от 05 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ктября 2007 г.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труда»).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2. Первый этап отбора проводится уполномоченными органами местного самоуправления в период с 25 апреля по 20 июня текущего года.</w:t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Для участия в отборе на I этапе участники отбора с 25 апреля по 31 мая 2022 года представляют в уполномоченные органы местного самоуправления следующие документы:</w:t>
      </w:r>
      <w:r/>
    </w:p>
    <w:p>
      <w:pPr>
        <w:ind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заявку в соответствии с требованиями, предъявляемыми к форме и содержанию заявок, подаваемых участниками отбора, которые включают в том числе согласие на публикацию (размещение) в информационно-телекоммуникационной сети «Интернет» информации об участнике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и согласие на обработку персональных данных, разрешенных субъектом персональных данных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для распространения (для индивидуальных предпринимателей) с прилагаемыми документами, указанными в заявке, по форме согласно приложению № 1 к Порядку;</w:t>
      </w:r>
      <w:r/>
    </w:p>
    <w:p>
      <w:pPr>
        <w:ind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информационную карту с соответствующими показателями за год, предшествующий году проведения отбора, в котором указываются показатели состояния условий и охраны труда согласно приложению № 2 к настоящему Порядку.</w:t>
      </w:r>
      <w:r/>
    </w:p>
    <w:p>
      <w:pPr>
        <w:ind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Документы, представляемые для отбора, не возвращаются и не рецензируются.</w:t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К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опии документов, указанные в заявке, заверяются в установленном законодательством Российской Федерации порядке. В случае предоставления копий документов, предусмотренных в заявке, достоверность которых не засвидетельствована в установленном законодательств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ом Российской Федерации порядке, копии таких документов заверяются сотрудником уполномоченного органа местного самоуправления при предъявлении оригиналов указанных документов.</w:t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повреждениями, не позволяющими однозначно истолковать их содержание.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Заявки, поступившие после 31 мая текущего года, к рассмотрению не принимаются, о чем уполномоченный орган местного самоуправления в письменной форме в течение 5 рабочих дней со дня поступления заявк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и направляет участнику отбора соответствующее уведомление способом, позволяющим подтвердить факт и дату получения уведомления.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Участник отбора вправе изменить поданную им заявку не позднее даты окончания срока приема заявок.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Заявка с внесенными в нее изменениями (далее - изменения заявки) должна быть оформлена в соответствии с требованиями, предъявляемыми Порядком к оформлению заявки.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Изменения заявки подаются в уполномоченный орган местного самоуправления в бумажном виде.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Изменения заявки, поступившие в уполномоченный орган местного самоуправления со дня окончания приема заявок, не учитываются, содержащиеся в них изменения заявки не рассматриваются.</w:t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Участники отбора вправе отозвать заявку не позднее даты окончания срока приема заявок.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Для отзыва заявки участник отбора направляет в произвольной форме способом, позволяющим подтвердить факт и дату направления, уведомление об отзыве заявки в уполномоченный орган местного самоуправления, принявший данную заявку, в бумажном виде.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У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ведомление об отзыве заявки должно быть скреплено печатью участника отбора и подписано уполномоченным лицом участника отбора. К уведомлению об отзыве заявки должен быть приложен документ, подтверждающий полномочия лица, подписавшего отзыв заявки, действова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ть от имени участника отбора в случае, если такие полномочия не подтверждены документом, представленным в составе заявки.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Если уведомление об отзыве заявки не соответствует указанным в настоящем пункте требованиям, заявка такого участника отбора считается не отозванной.</w:t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В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озврат отозванной заявки на отбор и прилагаемых к ней документов осуществляется уполномоченным органом местного самоуправления в течение 5 рабочих дней со дня поступления уведомления об отзыве заявки способом, позволяющим подтвердить факт и дату направлени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я.</w:t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Уполномоченные органы местного самоуправления разъясняют участникам отбора при их обращении порядок проведения отбора на I этапе, требования к содержанию, форме, оформлению документов для их подачи на участие в отборе, основания для отклонения и приня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тия к рассмотрению заявок.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Для проведения I этапа при уполномоченных органах местного самоуправления создаются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комиссии по организации и проведению отбора на лучшее состояние условий и охраны труда в автономном округе (далее - комиссии уполномоченных органов местного самоуправления),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состав которых утверждается муниципальным правовым актом органа местного самоуправления.</w:t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Комиссия уполномоченного органа местного самоуправления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на </w:t>
      </w:r>
      <w:r>
        <w:rPr>
          <w:rFonts w:ascii="Liberation Serif" w:hAnsi="Liberation Serif" w:cs="Liberation Serif" w:eastAsia="Liberation Serif"/>
          <w:sz w:val="24"/>
          <w:szCs w:val="24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этапе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принимают и регистрируют, поступившие от участников отбора в период с 25 апреля по 31 мая текущего года  документы, указанные в пункте 2.4 Порядка; рассматривают заявки, документы, прилагаемые к заявке, информационные карты, указанные в пункте 2.4 Порядка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в порядке их поступления, проверяет комплектность и полноту содержащихся в них сведений; определяет участников отбора (не более трех в каждой номинации от каждого муниципального района, муниципального и городского округа автономного округа), имеющих наиб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олее высокие показатели по таблице оценки критериев в соответствии с методикой оценки; принимает решение о признании победителями отбора на I этапе либо об отклонении заявки на участие в отборе на I этапе; оформляет протокол I этапа с перечнем участников о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тбора в каждой номинации, прошедших I этап отбора, не прошедших I этап отбора и таблицу оценки критериев; представляет в комиссию грантодателя протокол I этапа отбора и таблицу оценки критериев с документами и материалами, указанными в пункте 2.4 Порядка. </w:t>
      </w:r>
      <w:r/>
    </w:p>
    <w:p>
      <w:pPr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  <w:t xml:space="preserve">Требования, которым должен соответствовать участник отбора на 1 число месяца, предшествующего месяцу, в котором планируется проведение отбора на I этапе: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 участника отбора должна отсутствовать просроченная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задолженность по возврату в окружной бюджет субсидий, бюджетных инвестиций, представленных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окружным бюджетом;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участник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отбора;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участники не должны являться иностранными юридическими л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и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участники отбора не должны получать средства из окружного бюджета на основании иных нормативных правовых актов автономного округа на мероприятия по улучшению условий и охраны труда, указанные в пункте 1.4 Порядка.   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3. Второй эта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п отбора проводится комиссией грантодателя (департамента социальной защиты населения автономного округа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) в период с 21 июня по 22 августа 2022 года.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Комиссия грантодателя в течение 20 календарных дней со дня поступления документов I этапа проводит II этап отбора: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рассматривает документы участников отбора, указанные в пункте 2.4 Порядка;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проверяет участников отбора на соответствие требованиям, указанным в подпункте 3.3.1 пункта 3.3 Порядка;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определяет в каждой номинации грантополучателей, набравших наибольшее количество баллов, с присвоением порядковых номеров заявкам в порядке очередности ранжирования баллов по таблице оценки критериев;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оформляет протокол II этапа отбора с перечнем участников отбора в каждой номинации, прошедших II этап отбора, не прошедших II этап отбора, набравших наибольшее количество баллов с учетом израсходованных средств на мероприятия по улучшению условий и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охраны труда, таблицей оценки критериев, перечнем грантополучателей;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в течение 3 рабочих дней с даты оформления протокола II этапа отбора направляет его с таблицей оценки критериев грантодателю.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4. Грантодатель в течение 5 рабочих дней со дня оформления протокола II этапа уведомляет способом, позволяющим подтвердить факт и дату направления уведомления, участников отбора, набравших наибольшее количество баллов, о прохождении II этапа отбора и нео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бходимости предоставления дополнительных документов для принятия решения о предоставлении гранта и заключения соглашения.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Грантополучатель в целях предоставления гранта не позднее 5 календарных дней со дня получения уведомления представляет способом, позволяющим подтвердить факт и дату направления, грантодателю следующие документы: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письмо о его соответствии требованиям, указанным в подпункте 3.3.1 пункта 3.3 Порядка, а также о согласиях, предусмотренных подпунктами 3.3.2, 3.3.3 пункта 3.3 в произвольной форме;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сведения о реквизитах счета для перечисления гранта.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Грантодатель в течение 3 рабочих дней со дня окончания срока представления документов, указанных в пункте 2.18 настоящего Порядка, проверяет документы на наличие оснований для отказа грантополучателю в предоставлении гранта.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Основанием для отказа грантополучателю в предоставлении гранта является: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несоответствие представленных грантополучателем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установление факта недостоверности представленной грантополучателем информации.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В случае выявления грантодателем оснований для отказа грантополучателю в предоставлении гранта грантополучатель в течение 5 рабочих дней со дня окончания срока проверки документов на наличие оснований для отказа грантополучателю в предоставлении грант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а, указанного в пункте 2.21 Порядка, направляет грантополучателю уведомление об отказе в предоставлении гранта с указанием основания для отказа способом, позволяющим подтвердить факт получения.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При отсутствии оснований для отказа грантополучателю в предоставлении гранта грантодатель в течение 3 рабочих дней со дня окончания срока проверки документов на наличие оснований для отказа грантодателю в предоставлении гранта, указанного в пункте 2.2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1 Порядка, но не позднее 20 рабочих дней со дня оформления протокола II этапа принимает решение о предоставлении ему гранта, которое является основанием для заключения соглашения, и уведомляет способом, позволяющим подтвердить факт и дату направл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ения, уведомления о принятом решении.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ind w:left="0"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Критерии участников отбора, представленные в информационной карте согласно приложению № 2 к Порядку, оцениваются каждым членом комиссии грантодателя по таблице оценки критериев участников отбора согласно методике оценки критериев участников отбор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а, после чего суммируются.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Критериям соответствуют минимальное и максимальное количество баллов от 0 до 5. 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В число отобранных претендентов включаются претенденты, набравшие не менее 600 баллов.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Максимальный размер гранта составляет 100 000 (сто тысяч) рублей, но не должен превышать 60% общего объема затрат, понесенных грантополучателем на мероприятия по улучшению условий и охраны труда в соответствии с пунктом 1.4 Порядка.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5. Грантодатель в течение 1 рабочего дня со дня принятия решения, указанного в пункте 2.23 Порядка, направляет грантополучателю для подписания соглашение способом, позволяющим подтвердить факт получения.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Грантополучатель в течение 3 календарных дней со дня получения соглашения подписывает его и направляет в двух экземплярах грантополучателю способом, позволяющим подтвердить факт получения.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Грантополучатель, не представивший грантодателю подписанное в двух экземплярах соглашение в срок, установленный пунктом 3.5 Порядка, считается уклонившимся от его заключения.</w:t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В случае если по окончании срока, указанного в пункте 3.5 Порядка, соглашение не было подписано со стороны грантополучателя либо грантополучатель добровольно отказался от получения гранта, обязательства грантодателя по предоставлению гранта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аннулируются и грант предоставляется решением грантодателя следующему грантополучателю в порядке очередности ранжирования баллов по таблице оценки критериев.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6.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Показателями, необходимыми для достижения результата предоставления гранта, являются:</w:t>
      </w:r>
      <w:r/>
    </w:p>
    <w:p>
      <w:pPr>
        <w:ind w:left="0"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firstLine="708"/>
        <w:jc w:val="right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Таблица</w:t>
      </w:r>
      <w:r/>
    </w:p>
    <w:p>
      <w:pPr>
        <w:ind w:left="0" w:firstLine="708"/>
        <w:jc w:val="right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tbl>
      <w:tblPr>
        <w:tblStyle w:val="748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894"/>
        <w:gridCol w:w="3284"/>
      </w:tblGrid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Проведение специальной оценки условий труда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удельный вес рабочих мест, на которых проведена специальная оценка условий труда, в общем количестве рабочих мест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численность работников с впервые установленным профессиональным заболеванием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) и излучений (ионизирующего, электромагнитного, лазерного, ультрафиолетового)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рение, реконструкция и оснащение санитарно-бытовых помещений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ле-, видео-, аудиоаппаратурой, лицензионными обучающими и тестирующими программами по охране труда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численность обученных по охране труда руководителей, специалистов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67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Организация в установленном порядке обучения, инструктажа, проверки знаний по охране труда работников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589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Liberation Serif" w:hAnsi="Liberation Serif" w:cs="Liberation Serif" w:eastAsia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  <w:t xml:space="preserve">Реализация мероприятий, направленных на развитие физической культуры и спорта в трудовых коллективах</w:t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/>
          </w:p>
        </w:tc>
        <w:tc>
          <w:tcPr>
            <w:tcW w:w="3284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0" w:right="0" w:firstLine="142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ind w:left="0" w:right="0" w:firstLine="0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</w:t>
        <w:tab/>
        <w:t xml:space="preserve">Грантополучатели не позднее 28 декабря текущего финансового года представляют грантодателю:</w:t>
      </w:r>
      <w:r/>
    </w:p>
    <w:p>
      <w:pPr>
        <w:ind w:left="0" w:right="0" w:firstLine="708"/>
        <w:jc w:val="both"/>
        <w:spacing w:lineRule="auto" w:line="240" w:after="0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отчет о достижении результатов предоставления гранта и показателей, необходимых для достижения результата предоставления гранта, по состоянию на 25 декабря текущего финансового года с приложением копий документов, подтверждающих целевое использование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гранта, по форме, определенной типовой формой соглашения, установленной департаментом финансов автономного округа;</w:t>
      </w:r>
      <w:r/>
    </w:p>
    <w:p>
      <w:pPr>
        <w:ind w:left="0" w:right="0" w:firstLine="708"/>
        <w:jc w:val="both"/>
        <w:spacing w:lineRule="auto" w:line="240" w:after="0"/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 отчет о расходах, источником финансового обеспечения которых является грант, по форме, определенной типовой формой соглашения, установленной департаментом финансов автономного округа.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92"/>
    <w:next w:val="892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93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92"/>
    <w:next w:val="892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93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92"/>
    <w:next w:val="892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93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92"/>
    <w:next w:val="892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93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92"/>
    <w:next w:val="892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93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92"/>
    <w:next w:val="892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93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92"/>
    <w:next w:val="892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93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92"/>
    <w:next w:val="892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93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92"/>
    <w:next w:val="892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93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892"/>
    <w:qFormat/>
    <w:uiPriority w:val="34"/>
    <w:pPr>
      <w:contextualSpacing w:val="true"/>
      <w:ind w:left="720"/>
    </w:pPr>
  </w:style>
  <w:style w:type="paragraph" w:styleId="733">
    <w:name w:val="No Spacing"/>
    <w:qFormat/>
    <w:uiPriority w:val="1"/>
    <w:pPr>
      <w:spacing w:lineRule="auto" w:line="240" w:after="0" w:before="0"/>
    </w:pPr>
  </w:style>
  <w:style w:type="paragraph" w:styleId="734">
    <w:name w:val="Title"/>
    <w:basedOn w:val="892"/>
    <w:next w:val="892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>
    <w:name w:val="Title Char"/>
    <w:basedOn w:val="893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>
    <w:name w:val="Subtitle Char"/>
    <w:basedOn w:val="893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qFormat/>
    <w:uiPriority w:val="29"/>
    <w:rPr>
      <w:i/>
    </w:rPr>
    <w:pPr>
      <w:ind w:left="720" w:right="720"/>
    </w:p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>
    <w:name w:val="Header Char"/>
    <w:basedOn w:val="893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>
    <w:name w:val="Footer Char"/>
    <w:basedOn w:val="893"/>
    <w:link w:val="744"/>
    <w:uiPriority w:val="99"/>
  </w:style>
  <w:style w:type="paragraph" w:styleId="746">
    <w:name w:val="Caption"/>
    <w:basedOn w:val="892"/>
    <w:next w:val="8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4">
    <w:name w:val="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5">
    <w:name w:val="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6">
    <w:name w:val="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7">
    <w:name w:val="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8">
    <w:name w:val="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9">
    <w:name w:val="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60">
    <w:name w:val="Bordered &amp; Lined - Accent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61">
    <w:name w:val="Bordered &amp; Lined - Accent 1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62">
    <w:name w:val="Bordered &amp; Lined - Accent 2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63">
    <w:name w:val="Bordered &amp; Lined - Accent 3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64">
    <w:name w:val="Bordered &amp; Lined - Accent 4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65">
    <w:name w:val="Bordered &amp; Lined - Accent 5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66">
    <w:name w:val="Bordered &amp; Lined - Accent 6"/>
    <w:basedOn w:val="8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67">
    <w:name w:val="Bordered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8">
    <w:name w:val="Bordered - Accent 1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9">
    <w:name w:val="Bordered - Accent 2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0">
    <w:name w:val="Bordered - Accent 3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1">
    <w:name w:val="Bordered - Accent 4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2">
    <w:name w:val="Bordered - Accent 5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3">
    <w:name w:val="Bordered - Accent 6"/>
    <w:basedOn w:val="8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Поснихин Дмитрий Евгеньевич</dc:creator>
  <cp:keywords/>
  <dc:description/>
  <cp:revision>22</cp:revision>
  <dcterms:created xsi:type="dcterms:W3CDTF">2019-03-11T06:09:00Z</dcterms:created>
  <dcterms:modified xsi:type="dcterms:W3CDTF">2022-04-13T09:40:59Z</dcterms:modified>
</cp:coreProperties>
</file>