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b/>
          <w:bCs/>
          <w:sz w:val="26"/>
          <w:szCs w:val="26"/>
          <w:highlight w:val="none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План работы</w:t>
      </w: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Координационного с</w:t>
      </w:r>
      <w:r>
        <w:rPr>
          <w:rFonts w:ascii="Liberation Serif" w:hAnsi="Liberation Serif" w:cs="Liberation Serif"/>
          <w:b/>
          <w:sz w:val="26"/>
          <w:szCs w:val="26"/>
        </w:rPr>
        <w:t xml:space="preserve">овета по делам инвалидов муниципального об</w:t>
      </w:r>
      <w:r>
        <w:rPr>
          <w:rFonts w:ascii="Liberation Serif" w:hAnsi="Liberation Serif" w:cs="Liberation Serif"/>
          <w:b/>
          <w:sz w:val="26"/>
          <w:szCs w:val="26"/>
        </w:rPr>
        <w:t xml:space="preserve">разования </w:t>
      </w: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jc w:val="center"/>
        <w:rPr>
          <w:rFonts w:ascii="Liberation Serif" w:hAnsi="Liberation Serif" w:cs="Liberation Serif"/>
          <w:sz w:val="26"/>
          <w:szCs w:val="26"/>
          <w:highlight w:val="none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город Салехард на 2023 </w:t>
      </w:r>
      <w:r>
        <w:rPr>
          <w:rFonts w:ascii="Liberation Serif" w:hAnsi="Liberation Serif" w:cs="Liberation Serif"/>
          <w:b/>
          <w:sz w:val="26"/>
          <w:szCs w:val="26"/>
        </w:rPr>
        <w:t xml:space="preserve">год</w:t>
      </w: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highlight w:val="none"/>
        </w:rPr>
      </w: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tbl>
      <w:tblPr>
        <w:tblW w:w="11056" w:type="dxa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3827"/>
      </w:tblGrid>
      <w:tr>
        <w:trPr>
          <w:trHeight w:val="64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№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п/п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Основные вопросы повестки заседания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Ответственны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й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за подготовку вопрос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</w:tr>
      <w:tr>
        <w:trPr>
          <w:trHeight w:val="322"/>
        </w:trPr>
        <w:tc>
          <w:tcPr>
            <w:gridSpan w:val="3"/>
            <w:tcW w:w="110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1 полугодие (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апрель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)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</w:tr>
      <w:tr>
        <w:trPr>
          <w:trHeight w:val="128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1.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 w:themeColor="text1"/>
                <w:sz w:val="26"/>
                <w:szCs w:val="26"/>
              </w:rPr>
              <w:t xml:space="preserve">О состоянии первичной инвалидности взрослого и детского населения и показателях реабилитации в муниципальном образовании город Салехард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67" w:firstLine="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Бюро №1 ФКУ «Главное бюро медико-социальной экспертизы по Ямало-Ненецкому автономному округу»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</w:tr>
      <w:tr>
        <w:trPr>
          <w:trHeight w:val="2243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2.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О</w:t>
            </w:r>
            <w:r>
              <w:rPr>
                <w:rFonts w:ascii="Liberation Serif" w:hAnsi="Liberation Serif" w:cs="Liberation Serif" w:eastAsiaTheme="minorHAnsi"/>
                <w:color w:val="000000" w:themeColor="text1"/>
                <w:sz w:val="26"/>
                <w:szCs w:val="26"/>
              </w:rPr>
              <w:t xml:space="preserve"> реализации мероприятий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ГБУЗ «Салехардская окружная клиническая больница»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ГКУ ЯНАО «Социально-реабилитационный центр для несовершеннолетних «Доверие» в муниципальном образовании город Салехард»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</w:tr>
      <w:tr>
        <w:trPr>
          <w:trHeight w:val="704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3.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652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1260" w:leader="none"/>
              </w:tabs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Об организации дистанционных мест работы для детей-инвалидов, находящихся на домашнем обучении.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  <w:p>
            <w:pPr>
              <w:jc w:val="both"/>
              <w:tabs>
                <w:tab w:val="left" w:pos="1260" w:leader="none"/>
              </w:tabs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О перепрофилировании рабочих мест для инвалидов, состоящих на учете в центре занятости и нуждающихся в трудоустройстве.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ГКУ ЯНАО «Центр занятости населения города Салехард»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</w:tr>
      <w:tr>
        <w:trPr>
          <w:trHeight w:val="322"/>
        </w:trPr>
        <w:tc>
          <w:tcPr>
            <w:gridSpan w:val="3"/>
            <w:tcW w:w="110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6"/>
                <w:szCs w:val="26"/>
              </w:rPr>
              <w:t xml:space="preserve">2 полугодие (декабрь)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</w:tr>
      <w:tr>
        <w:trPr>
          <w:trHeight w:val="1584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1.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652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1260" w:leader="none"/>
              </w:tabs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Об исполнении Плана мероприятий муниципального образования город Салехард («дорожная карта») по повышению значений показателей доступности для инвалидов объектов социальной инфраструктуры и о планируемых мероприятиях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направленных на повышение доступности на 2023 год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Департамент по труду и социальной защите населения города Салехарда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1407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2.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1260" w:leader="none"/>
              </w:tabs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О принимаемых мерах по приспособлению жилых помещений инвалидов и общего имущества в многоквартирных домах, в которых проживают инвалиды с учетом потребностей инвалидов и обеспечения условий их доступности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Управления жилищно-коммунального хозяйства Администрации города Салехарда</w:t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</w:tr>
      <w:tr>
        <w:trPr>
          <w:trHeight w:val="96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3.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1260" w:leader="none"/>
              </w:tabs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 результатах проведенного мониторинга состояния зданий, торговых объектов и прилегающих территорий в части доступности для инвалидов и других маломобильных групп населения в период 2023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spacing w:before="24" w:after="24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Управление муниципального заказа и торговли</w:t>
            </w: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Администрации города Салехарда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</w:tr>
      <w:tr>
        <w:trPr>
          <w:trHeight w:val="977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4.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Об исполнении решений Координационного совета по делам инвалидов на территории муниципального образования город Салехард и утверждении плана работы на 2024 год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Департамент по труду и социальной защите населения города Салехарда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  <w:p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</w:p>
        </w:tc>
      </w:tr>
    </w:tbl>
    <w:p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 xml:space="preserve">  Заместитель п</w:t>
      </w:r>
      <w:r>
        <w:rPr>
          <w:rFonts w:ascii="Liberation Serif" w:hAnsi="Liberation Serif" w:cs="Liberation Serif"/>
          <w:sz w:val="26"/>
          <w:szCs w:val="26"/>
        </w:rPr>
        <w:t xml:space="preserve">редседател</w:t>
      </w:r>
      <w:r>
        <w:rPr>
          <w:rFonts w:ascii="Liberation Serif" w:hAnsi="Liberation Serif" w:cs="Liberation Serif"/>
          <w:sz w:val="26"/>
          <w:szCs w:val="26"/>
        </w:rPr>
        <w:t xml:space="preserve">я</w:t>
      </w:r>
      <w:r>
        <w:rPr>
          <w:rFonts w:ascii="Liberation Serif" w:hAnsi="Liberation Serif" w:cs="Liberation Serif"/>
          <w:sz w:val="26"/>
          <w:szCs w:val="26"/>
        </w:rPr>
        <w:t xml:space="preserve"> Координа</w:t>
      </w:r>
      <w:r>
        <w:rPr>
          <w:rFonts w:ascii="Liberation Serif" w:hAnsi="Liberation Serif" w:cs="Liberation Serif"/>
          <w:sz w:val="26"/>
          <w:szCs w:val="26"/>
        </w:rPr>
        <w:t xml:space="preserve">ционного совета          </w:t>
      </w:r>
      <w:r>
        <w:rPr>
          <w:rFonts w:ascii="Liberation Serif" w:hAnsi="Liberation Serif" w:cs="Liberation Serif"/>
          <w:sz w:val="26"/>
          <w:szCs w:val="26"/>
        </w:rPr>
        <w:t xml:space="preserve">______________ </w:t>
      </w:r>
      <w:r>
        <w:rPr>
          <w:rFonts w:ascii="Liberation Serif" w:hAnsi="Liberation Serif" w:cs="Liberation Serif"/>
          <w:sz w:val="26"/>
          <w:szCs w:val="26"/>
        </w:rPr>
        <w:t xml:space="preserve">            О.В. Алехина</w:t>
      </w: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jc w:val="both"/>
        <w:rPr>
          <w:rFonts w:ascii="Liberation Serif" w:hAnsi="Liberation Serif" w:cs="Liberation Serif"/>
          <w:sz w:val="26"/>
          <w:szCs w:val="26"/>
          <w:highlight w:val="none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/подпись/</w:t>
      </w: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</w:r>
      <w:r>
        <w:rPr>
          <w:rFonts w:ascii="Liberation Serif" w:hAnsi="Liberation Serif" w:cs="Liberation Serif"/>
          <w:b/>
          <w:bCs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jc w:val="both"/>
        <w:rPr>
          <w:rFonts w:ascii="Liberation Serif" w:hAnsi="Liberation Serif" w:cs="Liberation Serif"/>
          <w:sz w:val="26"/>
          <w:szCs w:val="26"/>
          <w:highlight w:val="none"/>
        </w:rPr>
      </w:pPr>
      <w:r>
        <w:rPr>
          <w:rFonts w:ascii="Liberation Serif" w:hAnsi="Liberation Serif" w:cs="Liberation Serif"/>
          <w:sz w:val="26"/>
          <w:szCs w:val="26"/>
          <w:highlight w:val="none"/>
        </w:rPr>
        <w:t xml:space="preserve">    </w:t>
      </w:r>
      <w:r>
        <w:rPr>
          <w:rFonts w:ascii="Liberation Serif" w:hAnsi="Liberation Serif" w:cs="Liberation Serif"/>
          <w:color w:val="auto"/>
          <w:sz w:val="26"/>
          <w:szCs w:val="26"/>
        </w:rPr>
        <w:t xml:space="preserve">Секретарь </w:t>
      </w:r>
      <w:r>
        <w:rPr>
          <w:rFonts w:ascii="Liberation Serif" w:hAnsi="Liberation Serif" w:cs="Liberation Serif"/>
          <w:sz w:val="26"/>
          <w:szCs w:val="26"/>
        </w:rPr>
        <w:t xml:space="preserve">Координа</w:t>
      </w:r>
      <w:r>
        <w:rPr>
          <w:rFonts w:ascii="Liberation Serif" w:hAnsi="Liberation Serif" w:cs="Liberation Serif"/>
          <w:sz w:val="26"/>
          <w:szCs w:val="26"/>
        </w:rPr>
        <w:t xml:space="preserve">ционного совета </w:t>
      </w:r>
      <w:r>
        <w:rPr>
          <w:rFonts w:ascii="Liberation Serif" w:hAnsi="Liberation Serif" w:cs="Liberation Serif"/>
          <w:color w:val="auto"/>
          <w:sz w:val="26"/>
          <w:szCs w:val="26"/>
          <w:highlight w:val="none"/>
        </w:rPr>
        <w:t xml:space="preserve">                                  __________                    Г.А. Курма</w:t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none"/>
        </w:rPr>
        <w:t xml:space="preserve">но</w:t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none"/>
        </w:rPr>
        <w:t xml:space="preserve">ва</w:t>
      </w:r>
      <w:r>
        <w:rPr>
          <w:rFonts w:ascii="Liberation Serif" w:hAnsi="Liberation Serif" w:cs="Liberation Serif"/>
          <w:sz w:val="26"/>
          <w:szCs w:val="26"/>
          <w:highlight w:val="none"/>
        </w:rPr>
      </w:r>
      <w:r>
        <w:rPr>
          <w:rFonts w:ascii="Liberation Serif" w:hAnsi="Liberation Serif" w:cs="Liberation Serif"/>
          <w:sz w:val="26"/>
          <w:szCs w:val="26"/>
        </w:rPr>
      </w:r>
    </w:p>
    <w:p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highlight w:val="none"/>
        </w:rPr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/подпись/</w:t>
      </w:r>
      <w:r>
        <w:rPr>
          <w:rFonts w:ascii="Liberation Serif" w:hAnsi="Liberation Serif" w:cs="Liberation Serif"/>
          <w:sz w:val="26"/>
          <w:szCs w:val="26"/>
          <w:highlight w:val="none"/>
        </w:rPr>
      </w:r>
      <w:r>
        <w:rPr>
          <w:rFonts w:ascii="Liberation Serif" w:hAnsi="Liberation Serif" w:cs="Liberation Serif"/>
          <w:sz w:val="26"/>
          <w:szCs w:val="26"/>
        </w:rPr>
      </w:r>
    </w:p>
    <w:sectPr>
      <w:headerReference w:type="default" r:id="rId9"/>
      <w:footnotePr/>
      <w:endnotePr/>
      <w:type w:val="nextPage"/>
      <w:pgSz w:w="11906" w:h="16838" w:orient="portrait"/>
      <w:pgMar w:top="656" w:right="709" w:bottom="308" w:left="142" w:header="426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Symbol">
    <w:panose1 w:val="05050102010706020507"/>
  </w:font>
  <w:font w:name="SimSun">
    <w:panose1 w:val="02010600030101010101"/>
  </w:font>
  <w:font w:name="Liberation Serif;Times New Roma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tabs>
          <w:tab w:val="num" w:pos="36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  <w:color w:val="ff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60" w:hanging="720"/>
      </w:pPr>
      <w:rPr>
        <w:rFonts w:hint="default"/>
        <w:color w:val="ff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30" w:hanging="720"/>
      </w:pPr>
      <w:rPr>
        <w:rFonts w:hint="default"/>
        <w:color w:val="ff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60" w:hanging="1080"/>
      </w:pPr>
      <w:rPr>
        <w:rFonts w:hint="default"/>
        <w:color w:val="ff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30" w:hanging="1080"/>
      </w:pPr>
      <w:rPr>
        <w:rFonts w:hint="default"/>
        <w:color w:val="ff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860" w:hanging="1440"/>
      </w:pPr>
      <w:rPr>
        <w:rFonts w:hint="default"/>
        <w:color w:val="ff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930" w:hanging="1440"/>
      </w:pPr>
      <w:rPr>
        <w:rFonts w:hint="default"/>
        <w:color w:val="ff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360" w:hanging="1800"/>
      </w:pPr>
      <w:rPr>
        <w:rFonts w:hint="default"/>
        <w:color w:val="ff000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78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  <w:tabs>
          <w:tab w:val="num" w:pos="6546" w:leader="none"/>
        </w:tabs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28"/>
    <w:link w:val="826"/>
    <w:uiPriority w:val="9"/>
    <w:rPr>
      <w:rFonts w:ascii="Arial" w:hAnsi="Arial" w:eastAsia="Arial" w:cs="Arial"/>
      <w:sz w:val="40"/>
      <w:szCs w:val="40"/>
    </w:rPr>
  </w:style>
  <w:style w:type="character" w:styleId="657">
    <w:name w:val="Heading 2 Char"/>
    <w:basedOn w:val="828"/>
    <w:link w:val="827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5"/>
    <w:next w:val="825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28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5"/>
    <w:next w:val="825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28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5"/>
    <w:next w:val="825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28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5"/>
    <w:next w:val="825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2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5"/>
    <w:next w:val="825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28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5"/>
    <w:next w:val="825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28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5"/>
    <w:next w:val="825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28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character" w:styleId="673">
    <w:name w:val="Title Char"/>
    <w:basedOn w:val="828"/>
    <w:link w:val="833"/>
    <w:uiPriority w:val="10"/>
    <w:rPr>
      <w:sz w:val="48"/>
      <w:szCs w:val="48"/>
    </w:rPr>
  </w:style>
  <w:style w:type="paragraph" w:styleId="674">
    <w:name w:val="Subtitle"/>
    <w:basedOn w:val="825"/>
    <w:next w:val="825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8"/>
    <w:link w:val="674"/>
    <w:uiPriority w:val="11"/>
    <w:rPr>
      <w:sz w:val="24"/>
      <w:szCs w:val="24"/>
    </w:rPr>
  </w:style>
  <w:style w:type="paragraph" w:styleId="676">
    <w:name w:val="Quote"/>
    <w:basedOn w:val="825"/>
    <w:next w:val="825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5"/>
    <w:next w:val="825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8"/>
    <w:link w:val="840"/>
    <w:uiPriority w:val="99"/>
  </w:style>
  <w:style w:type="character" w:styleId="681">
    <w:name w:val="Footer Char"/>
    <w:basedOn w:val="828"/>
    <w:link w:val="842"/>
    <w:uiPriority w:val="99"/>
  </w:style>
  <w:style w:type="character" w:styleId="682">
    <w:name w:val="Caption Char"/>
    <w:basedOn w:val="836"/>
    <w:link w:val="842"/>
    <w:uiPriority w:val="99"/>
  </w:style>
  <w:style w:type="table" w:styleId="683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8">
    <w:name w:val="footnote text"/>
    <w:basedOn w:val="825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8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8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paragraph" w:styleId="826">
    <w:name w:val="Heading 1"/>
    <w:basedOn w:val="825"/>
    <w:link w:val="846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27">
    <w:name w:val="Heading 2"/>
    <w:basedOn w:val="825"/>
    <w:next w:val="825"/>
    <w:link w:val="84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Body Text Indent"/>
    <w:basedOn w:val="825"/>
    <w:pPr>
      <w:ind w:firstLine="426"/>
      <w:jc w:val="both"/>
    </w:pPr>
    <w:rPr>
      <w:sz w:val="24"/>
    </w:rPr>
  </w:style>
  <w:style w:type="paragraph" w:styleId="832">
    <w:name w:val="Body Text Indent 2"/>
    <w:basedOn w:val="825"/>
    <w:pPr>
      <w:ind w:firstLine="709"/>
      <w:jc w:val="both"/>
    </w:pPr>
    <w:rPr>
      <w:sz w:val="24"/>
    </w:rPr>
  </w:style>
  <w:style w:type="paragraph" w:styleId="833">
    <w:name w:val="Title"/>
    <w:basedOn w:val="825"/>
    <w:qFormat/>
    <w:pPr>
      <w:jc w:val="center"/>
    </w:pPr>
    <w:rPr>
      <w:b/>
      <w:sz w:val="48"/>
    </w:rPr>
  </w:style>
  <w:style w:type="paragraph" w:styleId="834" w:customStyle="1">
    <w:name w:val="- СТРАНИЦА -"/>
  </w:style>
  <w:style w:type="character" w:styleId="835">
    <w:name w:val="Hyperlink"/>
    <w:basedOn w:val="828"/>
    <w:rPr>
      <w:color w:val="0000ff"/>
      <w:u w:val="single"/>
    </w:rPr>
  </w:style>
  <w:style w:type="paragraph" w:styleId="836">
    <w:name w:val="Caption"/>
    <w:basedOn w:val="825"/>
    <w:next w:val="825"/>
    <w:qFormat/>
    <w:pPr>
      <w:jc w:val="center"/>
    </w:pPr>
    <w:rPr>
      <w:b/>
      <w:sz w:val="52"/>
    </w:rPr>
  </w:style>
  <w:style w:type="paragraph" w:styleId="837">
    <w:name w:val="Body Text"/>
    <w:basedOn w:val="825"/>
    <w:pPr>
      <w:spacing w:after="120"/>
    </w:pPr>
  </w:style>
  <w:style w:type="table" w:styleId="838">
    <w:name w:val="Table Grid"/>
    <w:basedOn w:val="829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9">
    <w:name w:val="List Paragraph"/>
    <w:basedOn w:val="825"/>
    <w:link w:val="85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40">
    <w:name w:val="Header"/>
    <w:basedOn w:val="825"/>
    <w:link w:val="841"/>
    <w:pPr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28"/>
    <w:link w:val="840"/>
  </w:style>
  <w:style w:type="paragraph" w:styleId="842">
    <w:name w:val="Footer"/>
    <w:basedOn w:val="825"/>
    <w:link w:val="843"/>
    <w:pPr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28"/>
    <w:link w:val="842"/>
  </w:style>
  <w:style w:type="paragraph" w:styleId="844">
    <w:name w:val="Balloon Text"/>
    <w:basedOn w:val="825"/>
    <w:link w:val="845"/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828"/>
    <w:link w:val="844"/>
    <w:rPr>
      <w:rFonts w:ascii="Tahoma" w:hAnsi="Tahoma" w:cs="Tahoma"/>
      <w:sz w:val="16"/>
      <w:szCs w:val="16"/>
    </w:rPr>
  </w:style>
  <w:style w:type="character" w:styleId="846" w:customStyle="1">
    <w:name w:val="Заголовок 1 Знак"/>
    <w:basedOn w:val="828"/>
    <w:link w:val="826"/>
    <w:uiPriority w:val="9"/>
    <w:rPr>
      <w:b/>
      <w:bCs/>
      <w:sz w:val="48"/>
      <w:szCs w:val="48"/>
    </w:rPr>
  </w:style>
  <w:style w:type="character" w:styleId="847">
    <w:name w:val="Strong"/>
    <w:basedOn w:val="828"/>
    <w:uiPriority w:val="22"/>
    <w:qFormat/>
    <w:rPr>
      <w:b/>
      <w:bCs/>
    </w:rPr>
  </w:style>
  <w:style w:type="character" w:styleId="848" w:customStyle="1">
    <w:name w:val="apple-converted-space"/>
    <w:basedOn w:val="828"/>
  </w:style>
  <w:style w:type="character" w:styleId="849" w:customStyle="1">
    <w:name w:val="Заголовок 2 Знак"/>
    <w:basedOn w:val="828"/>
    <w:link w:val="827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50" w:customStyle="1">
    <w:name w:val="Абзац списка Знак"/>
    <w:link w:val="839"/>
    <w:rPr>
      <w:rFonts w:ascii="Calibri" w:hAnsi="Calibri"/>
      <w:sz w:val="22"/>
      <w:szCs w:val="22"/>
    </w:rPr>
  </w:style>
  <w:style w:type="paragraph" w:styleId="851" w:customStyle="1">
    <w:name w:val="Bespoke Basic"/>
    <w:basedOn w:val="668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color w:val="00000a"/>
      <w:spacing w:val="0"/>
      <w:position w:val="0"/>
      <w:sz w:val="24"/>
      <w:szCs w:val="24"/>
      <w:highlight w:val="none"/>
      <w:u w:val="none"/>
      <w:vertAlign w:val="baseline"/>
      <w:lang w:val="en-US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336C-A9C4-4209-9F40-B8949F3B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Администрация г.Салехарда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Bajal</dc:creator>
  <cp:revision>20</cp:revision>
  <dcterms:created xsi:type="dcterms:W3CDTF">2018-11-26T06:22:00Z</dcterms:created>
  <dcterms:modified xsi:type="dcterms:W3CDTF">2022-12-09T11:49:52Z</dcterms:modified>
</cp:coreProperties>
</file>